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0"/>
        <w:gridCol w:w="4176"/>
        <w:gridCol w:w="2252"/>
      </w:tblGrid>
      <w:tr w:rsidR="00357E7A" w:rsidRPr="005840BC" w:rsidTr="009E0177">
        <w:tc>
          <w:tcPr>
            <w:tcW w:w="8222" w:type="dxa"/>
            <w:gridSpan w:val="2"/>
            <w:tcBorders>
              <w:bottom w:val="nil"/>
            </w:tcBorders>
            <w:shd w:val="clear" w:color="auto" w:fill="auto"/>
          </w:tcPr>
          <w:p w:rsidR="00357E7A" w:rsidRPr="005840BC" w:rsidRDefault="009E0177" w:rsidP="001F562A">
            <w:pPr>
              <w:spacing w:after="0" w:line="240" w:lineRule="auto"/>
              <w:rPr>
                <w:b/>
                <w:color w:val="68007F"/>
                <w:sz w:val="36"/>
                <w:szCs w:val="36"/>
              </w:rPr>
            </w:pPr>
            <w:r w:rsidRPr="009E0177">
              <w:rPr>
                <w:rFonts w:cs="Calibri"/>
                <w:b/>
                <w:color w:val="E40059"/>
                <w:sz w:val="28"/>
                <w:szCs w:val="36"/>
              </w:rPr>
              <w:t>Standard Operating Procedures for accessing Summary Care Record</w:t>
            </w:r>
          </w:p>
        </w:tc>
        <w:tc>
          <w:tcPr>
            <w:tcW w:w="2659" w:type="dxa"/>
            <w:vMerge w:val="restart"/>
            <w:shd w:val="clear" w:color="auto" w:fill="auto"/>
            <w:vAlign w:val="center"/>
          </w:tcPr>
          <w:p w:rsidR="00357E7A" w:rsidRDefault="00357E7A" w:rsidP="005840BC">
            <w:pPr>
              <w:spacing w:after="0" w:line="240" w:lineRule="auto"/>
              <w:rPr>
                <w:noProof/>
              </w:rPr>
            </w:pPr>
          </w:p>
          <w:p w:rsidR="0049159B" w:rsidRDefault="0049159B" w:rsidP="005840BC">
            <w:pPr>
              <w:spacing w:after="0" w:line="240" w:lineRule="auto"/>
              <w:rPr>
                <w:noProof/>
              </w:rPr>
            </w:pPr>
          </w:p>
          <w:p w:rsidR="0049159B" w:rsidRPr="005840BC" w:rsidRDefault="0049159B" w:rsidP="0049159B">
            <w:pPr>
              <w:spacing w:after="0" w:line="240" w:lineRule="auto"/>
              <w:jc w:val="center"/>
            </w:pPr>
            <w:r w:rsidRPr="00531403">
              <w:rPr>
                <w:noProof/>
                <w:sz w:val="28"/>
                <w:highlight w:val="yellow"/>
              </w:rPr>
              <w:t>Pharmacy</w:t>
            </w:r>
            <w:r w:rsidR="00E61702" w:rsidRPr="00531403">
              <w:rPr>
                <w:noProof/>
                <w:sz w:val="28"/>
                <w:highlight w:val="yellow"/>
              </w:rPr>
              <w:t xml:space="preserve"> Name</w:t>
            </w:r>
          </w:p>
        </w:tc>
      </w:tr>
      <w:tr w:rsidR="00357E7A" w:rsidRPr="005840BC" w:rsidTr="009E0177">
        <w:tc>
          <w:tcPr>
            <w:tcW w:w="8222" w:type="dxa"/>
            <w:gridSpan w:val="2"/>
            <w:tcBorders>
              <w:top w:val="nil"/>
              <w:bottom w:val="nil"/>
            </w:tcBorders>
            <w:shd w:val="clear" w:color="auto" w:fill="auto"/>
          </w:tcPr>
          <w:p w:rsidR="009E0177" w:rsidRPr="005840BC" w:rsidRDefault="009E0177" w:rsidP="009E0177">
            <w:pPr>
              <w:spacing w:after="0" w:line="240" w:lineRule="auto"/>
              <w:rPr>
                <w:rFonts w:cs="Calibri"/>
                <w:b/>
                <w:color w:val="E40059"/>
                <w:sz w:val="36"/>
                <w:szCs w:val="36"/>
              </w:rPr>
            </w:pPr>
            <w:r>
              <w:rPr>
                <w:noProof/>
              </w:rPr>
              <w:drawing>
                <wp:inline distT="0" distB="0" distL="0" distR="0">
                  <wp:extent cx="1208662" cy="266700"/>
                  <wp:effectExtent l="19050" t="0" r="0" b="0"/>
                  <wp:docPr id="4" name="Picture 1" descr="cid:image001.png@01CFBB00.C274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BB00.C2740050"/>
                          <pic:cNvPicPr>
                            <a:picLocks noChangeAspect="1" noChangeArrowheads="1"/>
                          </pic:cNvPicPr>
                        </pic:nvPicPr>
                        <pic:blipFill>
                          <a:blip r:embed="rId8" r:link="rId9"/>
                          <a:srcRect/>
                          <a:stretch>
                            <a:fillRect/>
                          </a:stretch>
                        </pic:blipFill>
                        <pic:spPr bwMode="auto">
                          <a:xfrm>
                            <a:off x="0" y="0"/>
                            <a:ext cx="1208662" cy="266700"/>
                          </a:xfrm>
                          <a:prstGeom prst="rect">
                            <a:avLst/>
                          </a:prstGeom>
                          <a:noFill/>
                          <a:ln w="9525">
                            <a:noFill/>
                            <a:miter lim="800000"/>
                            <a:headEnd/>
                            <a:tailEnd/>
                          </a:ln>
                        </pic:spPr>
                      </pic:pic>
                    </a:graphicData>
                  </a:graphic>
                </wp:inline>
              </w:drawing>
            </w:r>
            <w:r>
              <w:rPr>
                <w:rFonts w:cs="Calibri"/>
                <w:b/>
                <w:color w:val="E40059"/>
                <w:sz w:val="36"/>
                <w:szCs w:val="36"/>
              </w:rPr>
              <w:t xml:space="preserve">                         </w:t>
            </w:r>
            <w:r>
              <w:rPr>
                <w:rFonts w:cs="Calibri"/>
                <w:b/>
                <w:noProof/>
                <w:color w:val="E40059"/>
                <w:sz w:val="36"/>
                <w:szCs w:val="36"/>
              </w:rPr>
              <w:drawing>
                <wp:inline distT="0" distB="0" distL="0" distR="0">
                  <wp:extent cx="1847850" cy="376362"/>
                  <wp:effectExtent l="19050" t="0" r="0" b="0"/>
                  <wp:docPr id="14" name="Picture 14" descr="C:\Documents and Settings\shwi\My Documents\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shwi\My Documents\My Pictures\logo.png"/>
                          <pic:cNvPicPr>
                            <a:picLocks noChangeAspect="1" noChangeArrowheads="1"/>
                          </pic:cNvPicPr>
                        </pic:nvPicPr>
                        <pic:blipFill>
                          <a:blip r:embed="rId10"/>
                          <a:srcRect/>
                          <a:stretch>
                            <a:fillRect/>
                          </a:stretch>
                        </pic:blipFill>
                        <pic:spPr bwMode="auto">
                          <a:xfrm>
                            <a:off x="0" y="0"/>
                            <a:ext cx="1857263" cy="378279"/>
                          </a:xfrm>
                          <a:prstGeom prst="rect">
                            <a:avLst/>
                          </a:prstGeom>
                          <a:noFill/>
                          <a:ln w="9525">
                            <a:noFill/>
                            <a:miter lim="800000"/>
                            <a:headEnd/>
                            <a:tailEnd/>
                          </a:ln>
                        </pic:spPr>
                      </pic:pic>
                    </a:graphicData>
                  </a:graphic>
                </wp:inline>
              </w:drawing>
            </w:r>
          </w:p>
        </w:tc>
        <w:tc>
          <w:tcPr>
            <w:tcW w:w="2659" w:type="dxa"/>
            <w:vMerge/>
            <w:shd w:val="clear" w:color="auto" w:fill="auto"/>
          </w:tcPr>
          <w:p w:rsidR="00357E7A" w:rsidRPr="005840BC" w:rsidRDefault="00357E7A" w:rsidP="005840BC">
            <w:pPr>
              <w:spacing w:after="0" w:line="240" w:lineRule="auto"/>
            </w:pPr>
          </w:p>
        </w:tc>
      </w:tr>
      <w:tr w:rsidR="00357E7A" w:rsidRPr="005840BC" w:rsidTr="009E0177">
        <w:tc>
          <w:tcPr>
            <w:tcW w:w="8222" w:type="dxa"/>
            <w:gridSpan w:val="2"/>
            <w:tcBorders>
              <w:top w:val="nil"/>
            </w:tcBorders>
            <w:shd w:val="clear" w:color="auto" w:fill="auto"/>
          </w:tcPr>
          <w:p w:rsidR="00357E7A" w:rsidRPr="005840BC" w:rsidRDefault="00357E7A" w:rsidP="005840BC">
            <w:pPr>
              <w:spacing w:after="0" w:line="240" w:lineRule="auto"/>
              <w:rPr>
                <w:sz w:val="4"/>
                <w:szCs w:val="4"/>
              </w:rPr>
            </w:pPr>
          </w:p>
        </w:tc>
        <w:tc>
          <w:tcPr>
            <w:tcW w:w="2659" w:type="dxa"/>
            <w:vMerge/>
            <w:shd w:val="clear" w:color="auto" w:fill="auto"/>
          </w:tcPr>
          <w:p w:rsidR="00357E7A" w:rsidRPr="005840BC" w:rsidRDefault="00357E7A" w:rsidP="005840BC">
            <w:pPr>
              <w:spacing w:after="0" w:line="240" w:lineRule="auto"/>
            </w:pPr>
          </w:p>
        </w:tc>
      </w:tr>
      <w:tr w:rsidR="00737E8E" w:rsidRPr="005840BC" w:rsidTr="009E0177">
        <w:tc>
          <w:tcPr>
            <w:tcW w:w="2661" w:type="dxa"/>
            <w:shd w:val="clear" w:color="auto" w:fill="D419FF"/>
          </w:tcPr>
          <w:p w:rsidR="00357E7A" w:rsidRPr="005840BC" w:rsidRDefault="00357E7A" w:rsidP="005840BC">
            <w:pPr>
              <w:spacing w:after="0" w:line="240" w:lineRule="auto"/>
              <w:rPr>
                <w:color w:val="FFFFFF"/>
              </w:rPr>
            </w:pPr>
            <w:r w:rsidRPr="005840BC">
              <w:rPr>
                <w:color w:val="FFFFFF"/>
              </w:rPr>
              <w:t>Policy Prepared By:</w:t>
            </w:r>
          </w:p>
        </w:tc>
        <w:tc>
          <w:tcPr>
            <w:tcW w:w="5561" w:type="dxa"/>
            <w:shd w:val="clear" w:color="auto" w:fill="auto"/>
          </w:tcPr>
          <w:p w:rsidR="00357E7A" w:rsidRPr="00531403" w:rsidRDefault="00357E7A" w:rsidP="005840BC">
            <w:pPr>
              <w:spacing w:after="0" w:line="240" w:lineRule="auto"/>
            </w:pPr>
          </w:p>
        </w:tc>
        <w:tc>
          <w:tcPr>
            <w:tcW w:w="2659" w:type="dxa"/>
            <w:vMerge/>
            <w:shd w:val="clear" w:color="auto" w:fill="auto"/>
          </w:tcPr>
          <w:p w:rsidR="00357E7A" w:rsidRPr="005840BC" w:rsidRDefault="00357E7A" w:rsidP="005840BC">
            <w:pPr>
              <w:spacing w:after="0" w:line="240" w:lineRule="auto"/>
            </w:pPr>
          </w:p>
        </w:tc>
      </w:tr>
      <w:tr w:rsidR="00737E8E" w:rsidRPr="005840BC" w:rsidTr="009E0177">
        <w:trPr>
          <w:trHeight w:val="276"/>
        </w:trPr>
        <w:tc>
          <w:tcPr>
            <w:tcW w:w="2661" w:type="dxa"/>
            <w:shd w:val="clear" w:color="auto" w:fill="D419FF"/>
          </w:tcPr>
          <w:p w:rsidR="00357E7A" w:rsidRPr="005840BC" w:rsidRDefault="00357E7A" w:rsidP="005840BC">
            <w:pPr>
              <w:spacing w:after="0" w:line="240" w:lineRule="auto"/>
              <w:rPr>
                <w:color w:val="FFFFFF"/>
              </w:rPr>
            </w:pPr>
            <w:r w:rsidRPr="005840BC">
              <w:rPr>
                <w:color w:val="FFFFFF"/>
              </w:rPr>
              <w:t>Date Prepared:</w:t>
            </w:r>
          </w:p>
        </w:tc>
        <w:tc>
          <w:tcPr>
            <w:tcW w:w="5561" w:type="dxa"/>
            <w:shd w:val="clear" w:color="auto" w:fill="auto"/>
          </w:tcPr>
          <w:p w:rsidR="00357E7A" w:rsidRPr="00531403" w:rsidRDefault="00357E7A" w:rsidP="005840BC">
            <w:pPr>
              <w:spacing w:after="0" w:line="240" w:lineRule="auto"/>
            </w:pPr>
          </w:p>
        </w:tc>
        <w:tc>
          <w:tcPr>
            <w:tcW w:w="2659" w:type="dxa"/>
            <w:vMerge/>
            <w:shd w:val="clear" w:color="auto" w:fill="auto"/>
          </w:tcPr>
          <w:p w:rsidR="00357E7A" w:rsidRPr="005840BC" w:rsidRDefault="00357E7A" w:rsidP="005840BC">
            <w:pPr>
              <w:spacing w:after="0" w:line="240" w:lineRule="auto"/>
            </w:pPr>
          </w:p>
        </w:tc>
      </w:tr>
      <w:tr w:rsidR="00737E8E" w:rsidRPr="005840BC" w:rsidTr="009E0177">
        <w:trPr>
          <w:trHeight w:val="276"/>
        </w:trPr>
        <w:tc>
          <w:tcPr>
            <w:tcW w:w="2661" w:type="dxa"/>
            <w:shd w:val="clear" w:color="auto" w:fill="D419FF"/>
          </w:tcPr>
          <w:p w:rsidR="00357E7A" w:rsidRPr="005840BC" w:rsidRDefault="00357E7A" w:rsidP="005840BC">
            <w:pPr>
              <w:spacing w:after="0" w:line="240" w:lineRule="auto"/>
              <w:rPr>
                <w:color w:val="FFFFFF"/>
              </w:rPr>
            </w:pPr>
            <w:r w:rsidRPr="005840BC">
              <w:rPr>
                <w:color w:val="FFFFFF"/>
              </w:rPr>
              <w:t>Policy Approved By:</w:t>
            </w:r>
          </w:p>
        </w:tc>
        <w:tc>
          <w:tcPr>
            <w:tcW w:w="5561" w:type="dxa"/>
            <w:shd w:val="clear" w:color="auto" w:fill="auto"/>
          </w:tcPr>
          <w:p w:rsidR="00357E7A" w:rsidRPr="00531403" w:rsidRDefault="00357E7A" w:rsidP="005840BC">
            <w:pPr>
              <w:spacing w:after="0" w:line="240" w:lineRule="auto"/>
            </w:pPr>
          </w:p>
        </w:tc>
        <w:tc>
          <w:tcPr>
            <w:tcW w:w="2659" w:type="dxa"/>
            <w:vMerge/>
            <w:shd w:val="clear" w:color="auto" w:fill="auto"/>
          </w:tcPr>
          <w:p w:rsidR="00357E7A" w:rsidRPr="005840BC" w:rsidRDefault="00357E7A" w:rsidP="005840BC">
            <w:pPr>
              <w:spacing w:after="0" w:line="240" w:lineRule="auto"/>
            </w:pPr>
          </w:p>
        </w:tc>
      </w:tr>
      <w:tr w:rsidR="00737E8E" w:rsidRPr="005840BC" w:rsidTr="009E0177">
        <w:trPr>
          <w:trHeight w:val="276"/>
        </w:trPr>
        <w:tc>
          <w:tcPr>
            <w:tcW w:w="2661" w:type="dxa"/>
            <w:shd w:val="clear" w:color="auto" w:fill="D419FF"/>
          </w:tcPr>
          <w:p w:rsidR="00357E7A" w:rsidRPr="005840BC" w:rsidRDefault="00357E7A" w:rsidP="005840BC">
            <w:pPr>
              <w:spacing w:after="0" w:line="240" w:lineRule="auto"/>
              <w:rPr>
                <w:color w:val="FFFFFF"/>
              </w:rPr>
            </w:pPr>
            <w:r w:rsidRPr="005840BC">
              <w:rPr>
                <w:color w:val="FFFFFF"/>
              </w:rPr>
              <w:t>Date Approved:</w:t>
            </w:r>
          </w:p>
        </w:tc>
        <w:tc>
          <w:tcPr>
            <w:tcW w:w="5561" w:type="dxa"/>
            <w:shd w:val="clear" w:color="auto" w:fill="auto"/>
          </w:tcPr>
          <w:p w:rsidR="00357E7A" w:rsidRPr="00531403" w:rsidRDefault="00357E7A" w:rsidP="005840BC">
            <w:pPr>
              <w:spacing w:after="0" w:line="240" w:lineRule="auto"/>
            </w:pPr>
          </w:p>
        </w:tc>
        <w:tc>
          <w:tcPr>
            <w:tcW w:w="2659" w:type="dxa"/>
            <w:vMerge/>
            <w:shd w:val="clear" w:color="auto" w:fill="auto"/>
          </w:tcPr>
          <w:p w:rsidR="00357E7A" w:rsidRPr="005840BC" w:rsidRDefault="00357E7A" w:rsidP="005840BC">
            <w:pPr>
              <w:spacing w:after="0" w:line="240" w:lineRule="auto"/>
            </w:pPr>
          </w:p>
        </w:tc>
      </w:tr>
      <w:tr w:rsidR="00737E8E" w:rsidRPr="005840BC" w:rsidTr="009E0177">
        <w:trPr>
          <w:trHeight w:val="276"/>
        </w:trPr>
        <w:tc>
          <w:tcPr>
            <w:tcW w:w="2661" w:type="dxa"/>
            <w:shd w:val="clear" w:color="auto" w:fill="D419FF"/>
          </w:tcPr>
          <w:p w:rsidR="00357E7A" w:rsidRPr="005840BC" w:rsidRDefault="00357E7A" w:rsidP="005840BC">
            <w:pPr>
              <w:spacing w:after="0" w:line="240" w:lineRule="auto"/>
              <w:rPr>
                <w:color w:val="FFFFFF"/>
              </w:rPr>
            </w:pPr>
            <w:r w:rsidRPr="005840BC">
              <w:rPr>
                <w:color w:val="FFFFFF"/>
              </w:rPr>
              <w:t>Review Date:</w:t>
            </w:r>
          </w:p>
        </w:tc>
        <w:tc>
          <w:tcPr>
            <w:tcW w:w="5561" w:type="dxa"/>
            <w:shd w:val="clear" w:color="auto" w:fill="auto"/>
          </w:tcPr>
          <w:p w:rsidR="00357E7A" w:rsidRPr="00531403" w:rsidRDefault="00531403" w:rsidP="005840BC">
            <w:pPr>
              <w:spacing w:after="0" w:line="240" w:lineRule="auto"/>
            </w:pPr>
            <w:r>
              <w:t xml:space="preserve"> </w:t>
            </w:r>
          </w:p>
        </w:tc>
        <w:tc>
          <w:tcPr>
            <w:tcW w:w="2659" w:type="dxa"/>
            <w:vMerge/>
            <w:shd w:val="clear" w:color="auto" w:fill="auto"/>
          </w:tcPr>
          <w:p w:rsidR="00357E7A" w:rsidRPr="005840BC" w:rsidRDefault="00357E7A" w:rsidP="005840BC">
            <w:pPr>
              <w:spacing w:after="0" w:line="240" w:lineRule="auto"/>
            </w:pPr>
          </w:p>
        </w:tc>
      </w:tr>
    </w:tbl>
    <w:p w:rsidR="007659D3" w:rsidRDefault="007659D3" w:rsidP="00357E7A">
      <w:pPr>
        <w:spacing w:after="0"/>
      </w:pPr>
    </w:p>
    <w:p w:rsidR="00A40401" w:rsidRDefault="00012A93" w:rsidP="00F7124E">
      <w:pPr>
        <w:tabs>
          <w:tab w:val="left" w:pos="2660"/>
        </w:tabs>
        <w:rPr>
          <w:b/>
          <w:color w:val="660066"/>
          <w:sz w:val="32"/>
        </w:rPr>
      </w:pPr>
      <w:r>
        <w:rPr>
          <w:b/>
          <w:color w:val="660066"/>
          <w:sz w:val="32"/>
        </w:rPr>
        <w:t>Introduction to Summary Care</w:t>
      </w:r>
      <w:r w:rsidR="00057DD1">
        <w:rPr>
          <w:b/>
          <w:color w:val="660066"/>
          <w:sz w:val="32"/>
        </w:rPr>
        <w:t xml:space="preserve"> Record </w:t>
      </w:r>
    </w:p>
    <w:p w:rsidR="00122AF4" w:rsidRPr="00122AF4" w:rsidRDefault="00122AF4" w:rsidP="00122AF4">
      <w:pPr>
        <w:tabs>
          <w:tab w:val="left" w:pos="2660"/>
        </w:tabs>
        <w:rPr>
          <w:color w:val="000000"/>
        </w:rPr>
      </w:pPr>
      <w:r w:rsidRPr="00122AF4">
        <w:rPr>
          <w:color w:val="000000"/>
        </w:rPr>
        <w:t>The Summary Care Record (SCR) is a form of electronic patient summary containing key clinical information. It has been created using information held by a patient’s GP.</w:t>
      </w:r>
    </w:p>
    <w:p w:rsidR="00122AF4" w:rsidRPr="00122AF4" w:rsidRDefault="00122AF4" w:rsidP="00122AF4">
      <w:pPr>
        <w:tabs>
          <w:tab w:val="left" w:pos="2660"/>
        </w:tabs>
        <w:rPr>
          <w:color w:val="000000"/>
        </w:rPr>
      </w:pPr>
      <w:r w:rsidRPr="00122AF4">
        <w:rPr>
          <w:color w:val="000000"/>
        </w:rPr>
        <w:t>As a minimum the SCR contains:</w:t>
      </w:r>
    </w:p>
    <w:p w:rsidR="00122AF4" w:rsidRDefault="00122AF4" w:rsidP="00122AF4">
      <w:pPr>
        <w:pStyle w:val="NoSpacing1"/>
        <w:numPr>
          <w:ilvl w:val="0"/>
          <w:numId w:val="10"/>
        </w:numPr>
      </w:pPr>
      <w:r w:rsidRPr="00122AF4">
        <w:t>Medic</w:t>
      </w:r>
      <w:r w:rsidR="00834036">
        <w:t>ines</w:t>
      </w:r>
      <w:r w:rsidRPr="00122AF4">
        <w:t>: Acute, repeat and discontinued repeat items</w:t>
      </w:r>
      <w:r w:rsidR="006153FD">
        <w:t xml:space="preserve"> (discontinued </w:t>
      </w:r>
      <w:r w:rsidR="0004651C">
        <w:t>items will be</w:t>
      </w:r>
      <w:r w:rsidR="006153FD">
        <w:t xml:space="preserve"> dependent upon the GP system which created it</w:t>
      </w:r>
      <w:r w:rsidR="00531403">
        <w:t>);</w:t>
      </w:r>
    </w:p>
    <w:p w:rsidR="00122AF4" w:rsidRPr="00122AF4" w:rsidRDefault="00122AF4" w:rsidP="00122AF4">
      <w:pPr>
        <w:pStyle w:val="NoSpacing1"/>
        <w:numPr>
          <w:ilvl w:val="0"/>
          <w:numId w:val="10"/>
        </w:numPr>
      </w:pPr>
      <w:r w:rsidRPr="00122AF4">
        <w:t>Allergies</w:t>
      </w:r>
      <w:r w:rsidR="00012A93">
        <w:t>;</w:t>
      </w:r>
    </w:p>
    <w:p w:rsidR="00122AF4" w:rsidRDefault="00122AF4" w:rsidP="00122AF4">
      <w:pPr>
        <w:pStyle w:val="NoSpacing1"/>
        <w:numPr>
          <w:ilvl w:val="0"/>
          <w:numId w:val="10"/>
        </w:numPr>
      </w:pPr>
      <w:r w:rsidRPr="00122AF4">
        <w:t>Adverse reactions</w:t>
      </w:r>
    </w:p>
    <w:p w:rsidR="00122AF4" w:rsidRPr="00122AF4" w:rsidRDefault="00122AF4" w:rsidP="00122AF4">
      <w:pPr>
        <w:pStyle w:val="NoSpacing1"/>
        <w:ind w:left="720"/>
      </w:pPr>
    </w:p>
    <w:p w:rsidR="00122AF4" w:rsidRPr="00122AF4" w:rsidRDefault="00122AF4" w:rsidP="00122AF4">
      <w:pPr>
        <w:tabs>
          <w:tab w:val="left" w:pos="2660"/>
        </w:tabs>
        <w:rPr>
          <w:color w:val="000000"/>
        </w:rPr>
      </w:pPr>
      <w:r w:rsidRPr="00122AF4">
        <w:rPr>
          <w:color w:val="000000"/>
        </w:rPr>
        <w:t xml:space="preserve">The SCR is updated automatically every time the above information changes on a GP system. </w:t>
      </w:r>
    </w:p>
    <w:p w:rsidR="00122AF4" w:rsidRPr="00122AF4" w:rsidRDefault="006153FD" w:rsidP="00122AF4">
      <w:pPr>
        <w:tabs>
          <w:tab w:val="left" w:pos="2660"/>
        </w:tabs>
        <w:rPr>
          <w:color w:val="000000"/>
        </w:rPr>
      </w:pPr>
      <w:r>
        <w:rPr>
          <w:color w:val="000000"/>
        </w:rPr>
        <w:t xml:space="preserve">This pharmacy has </w:t>
      </w:r>
      <w:r w:rsidR="0004651C">
        <w:rPr>
          <w:color w:val="000000"/>
        </w:rPr>
        <w:t xml:space="preserve">been identified as part of the </w:t>
      </w:r>
      <w:r>
        <w:rPr>
          <w:color w:val="000000"/>
        </w:rPr>
        <w:t xml:space="preserve">Proof of Concept </w:t>
      </w:r>
      <w:r w:rsidR="0004651C">
        <w:rPr>
          <w:color w:val="000000"/>
        </w:rPr>
        <w:t xml:space="preserve">project </w:t>
      </w:r>
      <w:r>
        <w:rPr>
          <w:color w:val="000000"/>
        </w:rPr>
        <w:t xml:space="preserve">for </w:t>
      </w:r>
      <w:r w:rsidR="0004651C">
        <w:rPr>
          <w:color w:val="000000"/>
        </w:rPr>
        <w:t>Community Pharmacy access to SCR</w:t>
      </w:r>
      <w:r>
        <w:rPr>
          <w:color w:val="000000"/>
        </w:rPr>
        <w:t xml:space="preserve"> being developed by NHS England and HSCIC.</w:t>
      </w:r>
    </w:p>
    <w:p w:rsidR="00122AF4" w:rsidRPr="00122AF4" w:rsidRDefault="00122AF4" w:rsidP="00122AF4">
      <w:pPr>
        <w:tabs>
          <w:tab w:val="left" w:pos="2660"/>
        </w:tabs>
        <w:rPr>
          <w:b/>
          <w:color w:val="660066"/>
          <w:sz w:val="32"/>
        </w:rPr>
      </w:pPr>
      <w:r w:rsidRPr="00122AF4">
        <w:rPr>
          <w:b/>
          <w:color w:val="660066"/>
          <w:sz w:val="32"/>
        </w:rPr>
        <w:t>In what scenario might the Summary Care Record be used</w:t>
      </w:r>
      <w:r>
        <w:rPr>
          <w:b/>
          <w:color w:val="660066"/>
          <w:sz w:val="32"/>
        </w:rPr>
        <w:t>?</w:t>
      </w:r>
    </w:p>
    <w:p w:rsidR="00122AF4" w:rsidRDefault="00122AF4" w:rsidP="00122AF4">
      <w:r>
        <w:t>The SCR is an additional tool, which the pharmacist</w:t>
      </w:r>
      <w:r w:rsidR="00FE4C26">
        <w:t xml:space="preserve"> or pharmacy technician</w:t>
      </w:r>
      <w:r>
        <w:t xml:space="preserve"> can use to support the care of their patients. It doesn’t replace existing sources of information such as the patient’s GP, PMR</w:t>
      </w:r>
      <w:r w:rsidR="00012A93">
        <w:t xml:space="preserve"> system</w:t>
      </w:r>
      <w:r>
        <w:t xml:space="preserve"> or discussion with the patient.</w:t>
      </w:r>
    </w:p>
    <w:p w:rsidR="00122AF4" w:rsidRDefault="00FF6263" w:rsidP="00122AF4">
      <w:r>
        <w:t>In line with the current scope of use for the Summary Care Record, i</w:t>
      </w:r>
      <w:r w:rsidR="0004651C">
        <w:t xml:space="preserve">t is predominantly to be used to support urgent or unscheduled care. </w:t>
      </w:r>
      <w:r w:rsidR="00122AF4">
        <w:t>The following list of practice scenarios is not exhaustive</w:t>
      </w:r>
      <w:r w:rsidR="00012A93">
        <w:t>,</w:t>
      </w:r>
      <w:r w:rsidR="00122AF4">
        <w:t xml:space="preserve"> but provides some examples of when the SCR might be used.  The SCR could be used in any situation where the pharmacist </w:t>
      </w:r>
      <w:r w:rsidR="00FE4C26">
        <w:t xml:space="preserve">/ pharmacy technician </w:t>
      </w:r>
      <w:r w:rsidR="00122AF4">
        <w:t>considers it to be appropriate, in accordance with their professional judgement.</w:t>
      </w:r>
    </w:p>
    <w:p w:rsidR="00122AF4" w:rsidRPr="00122AF4" w:rsidRDefault="00122AF4" w:rsidP="00122AF4">
      <w:pPr>
        <w:rPr>
          <w:b/>
          <w:bCs/>
          <w:lang w:val="en-US"/>
        </w:rPr>
      </w:pPr>
      <w:r w:rsidRPr="002C130B">
        <w:rPr>
          <w:b/>
          <w:bCs/>
          <w:lang w:val="en-US"/>
        </w:rPr>
        <w:t>Essential services:</w:t>
      </w:r>
    </w:p>
    <w:p w:rsidR="00122AF4" w:rsidRPr="00122AF4" w:rsidRDefault="00122AF4" w:rsidP="00122AF4">
      <w:pPr>
        <w:pStyle w:val="ColorfulList-Accent11"/>
        <w:numPr>
          <w:ilvl w:val="0"/>
          <w:numId w:val="14"/>
        </w:numPr>
        <w:spacing w:after="0" w:line="240" w:lineRule="auto"/>
        <w:rPr>
          <w:lang w:val="en-US"/>
        </w:rPr>
      </w:pPr>
      <w:r w:rsidRPr="002C130B">
        <w:rPr>
          <w:lang w:val="en-US"/>
        </w:rPr>
        <w:t xml:space="preserve">When dispensing prescriptions, to check the </w:t>
      </w:r>
      <w:r w:rsidR="00074BFC">
        <w:rPr>
          <w:lang w:val="en-US"/>
        </w:rPr>
        <w:t xml:space="preserve">current </w:t>
      </w:r>
      <w:r w:rsidR="00834036">
        <w:rPr>
          <w:lang w:val="en-US"/>
        </w:rPr>
        <w:t>medicines</w:t>
      </w:r>
      <w:r w:rsidR="00074BFC">
        <w:rPr>
          <w:lang w:val="en-US"/>
        </w:rPr>
        <w:t xml:space="preserve">, </w:t>
      </w:r>
      <w:r w:rsidRPr="002C130B">
        <w:rPr>
          <w:lang w:val="en-US"/>
        </w:rPr>
        <w:t>medic</w:t>
      </w:r>
      <w:r w:rsidR="00834036">
        <w:rPr>
          <w:lang w:val="en-US"/>
        </w:rPr>
        <w:t>ine</w:t>
      </w:r>
      <w:r w:rsidRPr="002C130B">
        <w:rPr>
          <w:lang w:val="en-US"/>
        </w:rPr>
        <w:t xml:space="preserve"> history</w:t>
      </w:r>
      <w:r w:rsidR="00074BFC">
        <w:rPr>
          <w:lang w:val="en-US"/>
        </w:rPr>
        <w:t xml:space="preserve">, allergies, </w:t>
      </w:r>
      <w:r w:rsidR="00FE4C26">
        <w:rPr>
          <w:lang w:val="en-US"/>
        </w:rPr>
        <w:t xml:space="preserve">and </w:t>
      </w:r>
      <w:r w:rsidR="00074BFC">
        <w:rPr>
          <w:lang w:val="en-US"/>
        </w:rPr>
        <w:t xml:space="preserve">adverse </w:t>
      </w:r>
      <w:r w:rsidR="001812E3">
        <w:rPr>
          <w:lang w:val="en-US"/>
        </w:rPr>
        <w:t>reactions, to</w:t>
      </w:r>
      <w:r w:rsidR="00074BFC">
        <w:rPr>
          <w:lang w:val="en-US"/>
        </w:rPr>
        <w:t xml:space="preserve"> </w:t>
      </w:r>
      <w:r w:rsidR="00FE4C26">
        <w:rPr>
          <w:lang w:val="en-US"/>
        </w:rPr>
        <w:t xml:space="preserve">support patient care. </w:t>
      </w:r>
      <w:r w:rsidRPr="002C130B">
        <w:rPr>
          <w:lang w:val="en-US"/>
        </w:rPr>
        <w:t xml:space="preserve"> </w:t>
      </w:r>
    </w:p>
    <w:p w:rsidR="00122AF4" w:rsidRPr="002C130B" w:rsidRDefault="00122AF4" w:rsidP="00122AF4">
      <w:pPr>
        <w:pStyle w:val="ColorfulList-Accent11"/>
        <w:numPr>
          <w:ilvl w:val="0"/>
          <w:numId w:val="14"/>
        </w:numPr>
        <w:spacing w:after="0" w:line="240" w:lineRule="auto"/>
        <w:rPr>
          <w:lang w:val="en-US"/>
        </w:rPr>
      </w:pPr>
      <w:r w:rsidRPr="002C130B">
        <w:rPr>
          <w:lang w:val="en-US"/>
        </w:rPr>
        <w:t xml:space="preserve">Supporting </w:t>
      </w:r>
      <w:r w:rsidR="00531403" w:rsidRPr="002C130B">
        <w:rPr>
          <w:lang w:val="en-US"/>
        </w:rPr>
        <w:t>self-care</w:t>
      </w:r>
      <w:r w:rsidRPr="002C130B">
        <w:rPr>
          <w:lang w:val="en-US"/>
        </w:rPr>
        <w:t xml:space="preserve"> for public health services and promoting healthy lifestyles – knowing what (other) medic</w:t>
      </w:r>
      <w:r w:rsidR="00834036">
        <w:rPr>
          <w:lang w:val="en-US"/>
        </w:rPr>
        <w:t>ines</w:t>
      </w:r>
      <w:r w:rsidRPr="002C130B">
        <w:rPr>
          <w:lang w:val="en-US"/>
        </w:rPr>
        <w:t xml:space="preserve"> a patient is taking.</w:t>
      </w:r>
      <w:r w:rsidR="0004651C">
        <w:rPr>
          <w:lang w:val="en-US"/>
        </w:rPr>
        <w:br/>
      </w:r>
    </w:p>
    <w:p w:rsidR="00122AF4" w:rsidRPr="002C130B" w:rsidRDefault="00122AF4" w:rsidP="00122AF4">
      <w:pPr>
        <w:rPr>
          <w:lang w:val="en-US"/>
        </w:rPr>
      </w:pPr>
      <w:r w:rsidRPr="002C130B">
        <w:rPr>
          <w:b/>
          <w:bCs/>
          <w:lang w:val="en-US"/>
        </w:rPr>
        <w:t>Advanced services:</w:t>
      </w:r>
    </w:p>
    <w:p w:rsidR="00122AF4" w:rsidRPr="002C130B" w:rsidRDefault="00122AF4" w:rsidP="00122AF4">
      <w:pPr>
        <w:pStyle w:val="ColorfulList-Accent11"/>
        <w:numPr>
          <w:ilvl w:val="0"/>
          <w:numId w:val="13"/>
        </w:numPr>
        <w:spacing w:after="0" w:line="240" w:lineRule="auto"/>
        <w:rPr>
          <w:lang w:val="en-US"/>
        </w:rPr>
      </w:pPr>
      <w:r w:rsidRPr="002C130B">
        <w:rPr>
          <w:lang w:val="en-US"/>
        </w:rPr>
        <w:t>During a medicines use review (MUR) to verify and compare medic</w:t>
      </w:r>
      <w:r w:rsidR="00834036">
        <w:rPr>
          <w:lang w:val="en-US"/>
        </w:rPr>
        <w:t>ine</w:t>
      </w:r>
      <w:r w:rsidRPr="002C130B">
        <w:rPr>
          <w:lang w:val="en-US"/>
        </w:rPr>
        <w:t>s currently being prescribed for the patient and their allergy status</w:t>
      </w:r>
      <w:r w:rsidR="0004651C">
        <w:rPr>
          <w:lang w:val="en-US"/>
        </w:rPr>
        <w:t>, where this is not already know</w:t>
      </w:r>
      <w:r w:rsidR="00161C6B">
        <w:rPr>
          <w:lang w:val="en-US"/>
        </w:rPr>
        <w:t>n</w:t>
      </w:r>
      <w:r w:rsidRPr="002C130B">
        <w:rPr>
          <w:lang w:val="en-US"/>
        </w:rPr>
        <w:t>. Pharmacy PMR systems often provide electronic templates for MURs.</w:t>
      </w:r>
    </w:p>
    <w:p w:rsidR="00122AF4" w:rsidRPr="002C130B" w:rsidRDefault="00122AF4" w:rsidP="00122AF4">
      <w:pPr>
        <w:pStyle w:val="ColorfulList-Accent11"/>
        <w:numPr>
          <w:ilvl w:val="0"/>
          <w:numId w:val="13"/>
        </w:numPr>
        <w:spacing w:after="0" w:line="240" w:lineRule="auto"/>
        <w:rPr>
          <w:lang w:val="en-US"/>
        </w:rPr>
      </w:pPr>
      <w:r w:rsidRPr="002C130B">
        <w:rPr>
          <w:lang w:val="en-US"/>
        </w:rPr>
        <w:t>For provision of the New Medicine Service (NMS).</w:t>
      </w:r>
    </w:p>
    <w:p w:rsidR="00E61702" w:rsidRDefault="00FF6263" w:rsidP="00122AF4">
      <w:pPr>
        <w:pStyle w:val="ColorfulList-Accent11"/>
        <w:spacing w:after="0" w:line="240" w:lineRule="auto"/>
        <w:rPr>
          <w:lang w:val="en-US"/>
        </w:rPr>
      </w:pPr>
      <w:r>
        <w:rPr>
          <w:lang w:val="en-US"/>
        </w:rPr>
        <w:br/>
      </w:r>
    </w:p>
    <w:p w:rsidR="00E61702" w:rsidRPr="00E61702" w:rsidRDefault="00E61702" w:rsidP="00E61702">
      <w:pPr>
        <w:tabs>
          <w:tab w:val="left" w:pos="4725"/>
        </w:tabs>
        <w:rPr>
          <w:lang w:val="en-US"/>
        </w:rPr>
      </w:pPr>
      <w:r>
        <w:rPr>
          <w:lang w:val="en-US"/>
        </w:rPr>
        <w:tab/>
      </w:r>
    </w:p>
    <w:p w:rsidR="00122AF4" w:rsidRPr="00122AF4" w:rsidRDefault="00FF6263" w:rsidP="00122AF4">
      <w:pPr>
        <w:pStyle w:val="ColorfulList-Accent11"/>
        <w:spacing w:after="0" w:line="240" w:lineRule="auto"/>
        <w:rPr>
          <w:lang w:val="en-US"/>
        </w:rPr>
      </w:pPr>
      <w:r>
        <w:rPr>
          <w:lang w:val="en-US"/>
        </w:rPr>
        <w:br/>
      </w:r>
      <w:r>
        <w:rPr>
          <w:lang w:val="en-US"/>
        </w:rPr>
        <w:br/>
      </w:r>
    </w:p>
    <w:p w:rsidR="001F562A" w:rsidRDefault="003214FC" w:rsidP="001F562A">
      <w:pPr>
        <w:rPr>
          <w:b/>
          <w:bCs/>
          <w:lang w:val="en-US"/>
        </w:rPr>
      </w:pPr>
      <w:r>
        <w:rPr>
          <w:b/>
          <w:bCs/>
          <w:lang w:val="en-US"/>
        </w:rPr>
        <w:t>Locally commissioned</w:t>
      </w:r>
      <w:r w:rsidR="00122AF4" w:rsidRPr="002C130B">
        <w:rPr>
          <w:b/>
          <w:bCs/>
          <w:lang w:val="en-US"/>
        </w:rPr>
        <w:t xml:space="preserve"> services:</w:t>
      </w:r>
    </w:p>
    <w:p w:rsidR="001F562A" w:rsidRPr="001F562A" w:rsidRDefault="00122AF4" w:rsidP="001F562A">
      <w:pPr>
        <w:pStyle w:val="ListParagraph"/>
        <w:numPr>
          <w:ilvl w:val="0"/>
          <w:numId w:val="34"/>
        </w:numPr>
        <w:rPr>
          <w:b/>
          <w:bCs/>
          <w:lang w:val="en-US"/>
        </w:rPr>
      </w:pPr>
      <w:r w:rsidRPr="001F562A">
        <w:rPr>
          <w:lang w:val="en-US"/>
        </w:rPr>
        <w:t>Wh</w:t>
      </w:r>
      <w:r w:rsidR="007C5E09">
        <w:rPr>
          <w:lang w:val="en-US"/>
        </w:rPr>
        <w:t>en supplying medic</w:t>
      </w:r>
      <w:r w:rsidR="00834036">
        <w:rPr>
          <w:lang w:val="en-US"/>
        </w:rPr>
        <w:t>ines</w:t>
      </w:r>
      <w:r w:rsidR="007C5E09">
        <w:rPr>
          <w:lang w:val="en-US"/>
        </w:rPr>
        <w:t xml:space="preserve"> under a</w:t>
      </w:r>
      <w:r w:rsidRPr="001F562A">
        <w:rPr>
          <w:lang w:val="en-US"/>
        </w:rPr>
        <w:t xml:space="preserve"> </w:t>
      </w:r>
      <w:r w:rsidR="003214FC" w:rsidRPr="001F562A">
        <w:rPr>
          <w:lang w:val="en-US"/>
        </w:rPr>
        <w:t>locally commissioned</w:t>
      </w:r>
      <w:r w:rsidRPr="001F562A">
        <w:rPr>
          <w:lang w:val="en-US"/>
        </w:rPr>
        <w:t xml:space="preserve"> service to </w:t>
      </w:r>
      <w:r w:rsidR="00AE6BD7" w:rsidRPr="001F562A">
        <w:rPr>
          <w:lang w:val="en-US"/>
        </w:rPr>
        <w:t>check the current medic</w:t>
      </w:r>
      <w:r w:rsidR="00834036">
        <w:rPr>
          <w:lang w:val="en-US"/>
        </w:rPr>
        <w:t>ines</w:t>
      </w:r>
      <w:r w:rsidR="00AE6BD7" w:rsidRPr="001F562A">
        <w:rPr>
          <w:lang w:val="en-US"/>
        </w:rPr>
        <w:t>, medic</w:t>
      </w:r>
      <w:r w:rsidR="00834036">
        <w:rPr>
          <w:lang w:val="en-US"/>
        </w:rPr>
        <w:t>ine</w:t>
      </w:r>
      <w:r w:rsidR="00AE6BD7" w:rsidRPr="001F562A">
        <w:rPr>
          <w:lang w:val="en-US"/>
        </w:rPr>
        <w:t xml:space="preserve"> history, allergies</w:t>
      </w:r>
      <w:r w:rsidR="00564A7E">
        <w:rPr>
          <w:lang w:val="en-US"/>
        </w:rPr>
        <w:t xml:space="preserve"> </w:t>
      </w:r>
      <w:r w:rsidR="001812E3">
        <w:rPr>
          <w:lang w:val="en-US"/>
        </w:rPr>
        <w:t>and</w:t>
      </w:r>
      <w:r w:rsidR="001812E3" w:rsidRPr="001F562A">
        <w:rPr>
          <w:lang w:val="en-US"/>
        </w:rPr>
        <w:t xml:space="preserve"> adverse</w:t>
      </w:r>
      <w:r w:rsidR="00AE6BD7" w:rsidRPr="001F562A">
        <w:rPr>
          <w:lang w:val="en-US"/>
        </w:rPr>
        <w:t xml:space="preserve"> </w:t>
      </w:r>
      <w:r w:rsidR="001812E3" w:rsidRPr="001F562A">
        <w:rPr>
          <w:lang w:val="en-US"/>
        </w:rPr>
        <w:t>reactions to</w:t>
      </w:r>
      <w:r w:rsidR="00AE6BD7" w:rsidRPr="001F562A">
        <w:rPr>
          <w:lang w:val="en-US"/>
        </w:rPr>
        <w:t xml:space="preserve"> avoid interactions, allergic reactions and adverse reactions.</w:t>
      </w:r>
      <w:r w:rsidR="003214FC" w:rsidRPr="001F562A">
        <w:rPr>
          <w:lang w:val="en-US"/>
        </w:rPr>
        <w:t xml:space="preserve"> Examples include:</w:t>
      </w:r>
    </w:p>
    <w:p w:rsidR="001F562A" w:rsidRDefault="001F562A" w:rsidP="001F562A">
      <w:pPr>
        <w:pStyle w:val="ColorfulList-Accent11"/>
        <w:spacing w:after="0" w:line="240" w:lineRule="auto"/>
        <w:rPr>
          <w:lang w:val="en-US"/>
        </w:rPr>
      </w:pPr>
      <w:r>
        <w:rPr>
          <w:lang w:val="en-US"/>
        </w:rPr>
        <w:t xml:space="preserve">- </w:t>
      </w:r>
      <w:r w:rsidR="00122AF4" w:rsidRPr="001F562A">
        <w:rPr>
          <w:lang w:val="en-US"/>
        </w:rPr>
        <w:t xml:space="preserve">Supply </w:t>
      </w:r>
      <w:r w:rsidR="00564A7E">
        <w:rPr>
          <w:lang w:val="en-US"/>
        </w:rPr>
        <w:t xml:space="preserve">or administration </w:t>
      </w:r>
      <w:r w:rsidR="00122AF4" w:rsidRPr="001F562A">
        <w:rPr>
          <w:lang w:val="en-US"/>
        </w:rPr>
        <w:t>of medicines on NHS Patient Group Directions (PGD)</w:t>
      </w:r>
    </w:p>
    <w:p w:rsidR="003773CD" w:rsidRDefault="001F562A" w:rsidP="001F562A">
      <w:pPr>
        <w:pStyle w:val="ColorfulList-Accent11"/>
        <w:spacing w:after="0" w:line="240" w:lineRule="auto"/>
        <w:rPr>
          <w:lang w:val="en-US"/>
        </w:rPr>
      </w:pPr>
      <w:r>
        <w:rPr>
          <w:lang w:val="en-US"/>
        </w:rPr>
        <w:t xml:space="preserve">- </w:t>
      </w:r>
      <w:r w:rsidR="003214FC" w:rsidRPr="003214FC">
        <w:rPr>
          <w:lang w:val="en-US"/>
        </w:rPr>
        <w:t>During minor ailments consultations (MAS) to confirm suitability of Over The Counter medicines with regular medicines</w:t>
      </w:r>
      <w:r w:rsidR="00834036">
        <w:rPr>
          <w:lang w:val="en-US"/>
        </w:rPr>
        <w:t xml:space="preserve"> </w:t>
      </w:r>
      <w:r w:rsidR="003214FC" w:rsidRPr="003214FC">
        <w:rPr>
          <w:lang w:val="en-US"/>
        </w:rPr>
        <w:t>and in the light of any a</w:t>
      </w:r>
      <w:r w:rsidR="003214FC" w:rsidRPr="003214FC">
        <w:t>llergies, adverse reactions, or diagnoses listed.</w:t>
      </w:r>
    </w:p>
    <w:p w:rsidR="003214FC" w:rsidRPr="002C130B" w:rsidRDefault="003214FC" w:rsidP="001F562A">
      <w:pPr>
        <w:pStyle w:val="ColorfulList-Accent11"/>
        <w:spacing w:after="0" w:line="240" w:lineRule="auto"/>
        <w:ind w:left="360"/>
        <w:rPr>
          <w:lang w:val="en-US"/>
        </w:rPr>
      </w:pPr>
    </w:p>
    <w:p w:rsidR="00122AF4" w:rsidRPr="002C130B" w:rsidRDefault="00122AF4" w:rsidP="00122AF4">
      <w:pPr>
        <w:pStyle w:val="ColorfulList-Accent11"/>
        <w:numPr>
          <w:ilvl w:val="0"/>
          <w:numId w:val="11"/>
        </w:numPr>
        <w:spacing w:after="0" w:line="240" w:lineRule="auto"/>
        <w:rPr>
          <w:lang w:val="en-US"/>
        </w:rPr>
      </w:pPr>
      <w:r w:rsidRPr="002C130B">
        <w:rPr>
          <w:lang w:val="en-US"/>
        </w:rPr>
        <w:t>When dispensing an emergency supply (at the request of the patient) to verify the name, form, strength and dose of medic</w:t>
      </w:r>
      <w:r w:rsidR="00834036">
        <w:rPr>
          <w:lang w:val="en-US"/>
        </w:rPr>
        <w:t>ine</w:t>
      </w:r>
      <w:r w:rsidRPr="002C130B">
        <w:rPr>
          <w:lang w:val="en-US"/>
        </w:rPr>
        <w:t xml:space="preserve"> previously had by the patient. </w:t>
      </w:r>
    </w:p>
    <w:p w:rsidR="005E55BD" w:rsidRPr="005E55BD" w:rsidRDefault="005E55BD" w:rsidP="005E55BD">
      <w:pPr>
        <w:pStyle w:val="ColorfulList-Accent11"/>
        <w:spacing w:after="0" w:line="240" w:lineRule="auto"/>
      </w:pPr>
    </w:p>
    <w:p w:rsidR="00122AF4" w:rsidRPr="00122AF4" w:rsidRDefault="00EC5DFA" w:rsidP="00122AF4">
      <w:pPr>
        <w:tabs>
          <w:tab w:val="left" w:pos="2660"/>
        </w:tabs>
        <w:rPr>
          <w:b/>
          <w:color w:val="660066"/>
          <w:sz w:val="32"/>
        </w:rPr>
      </w:pPr>
      <w:r>
        <w:rPr>
          <w:b/>
          <w:color w:val="660066"/>
          <w:sz w:val="32"/>
        </w:rPr>
        <w:t>Permission to View a Summary Care Record</w:t>
      </w:r>
    </w:p>
    <w:p w:rsidR="00122AF4" w:rsidRDefault="00122AF4" w:rsidP="00122AF4">
      <w:r>
        <w:t>The SCR has a permission to view consent model. The patient’s permission must be sought to view that patient’s SCR for each care episode.</w:t>
      </w:r>
      <w:r w:rsidR="00794AD6">
        <w:t xml:space="preserve"> It is essential that the patient provides informed consent. Additional materials and discussion may be needed to support pharmacists and to ensure patients fully understand what they are giving consent for.</w:t>
      </w:r>
    </w:p>
    <w:p w:rsidR="00122AF4" w:rsidRDefault="00122AF4" w:rsidP="00122AF4">
      <w:r>
        <w:t xml:space="preserve">Pharmacists </w:t>
      </w:r>
      <w:r w:rsidR="0004651C">
        <w:t xml:space="preserve">and </w:t>
      </w:r>
      <w:r w:rsidR="00834036">
        <w:t xml:space="preserve">Pharmacy </w:t>
      </w:r>
      <w:r w:rsidR="0004651C">
        <w:t xml:space="preserve">Technicians </w:t>
      </w:r>
      <w:r>
        <w:t xml:space="preserve">must only access a patient record to enable </w:t>
      </w:r>
      <w:r w:rsidR="00161C6B">
        <w:t xml:space="preserve">direct </w:t>
      </w:r>
      <w:r>
        <w:t xml:space="preserve">provision of a pharmacy service. It would be inappropriate and unethical for </w:t>
      </w:r>
      <w:r w:rsidR="00834036">
        <w:t xml:space="preserve">registered pharmacy professionals </w:t>
      </w:r>
      <w:r>
        <w:t xml:space="preserve">to access information from records for purposes unrelated to the pharmacy service </w:t>
      </w:r>
      <w:r w:rsidR="0004651C">
        <w:t>the patient is requesting be</w:t>
      </w:r>
      <w:r>
        <w:t xml:space="preserve"> provided.</w:t>
      </w:r>
    </w:p>
    <w:p w:rsidR="007605B3" w:rsidRDefault="0061361D" w:rsidP="00161C6B">
      <w:r>
        <w:t>P</w:t>
      </w:r>
      <w:r w:rsidRPr="00122AF4">
        <w:t xml:space="preserve">rior to each viewing of the SCR, </w:t>
      </w:r>
      <w:r>
        <w:t xml:space="preserve">we </w:t>
      </w:r>
      <w:r w:rsidRPr="00122AF4">
        <w:t xml:space="preserve">will obtain explicit </w:t>
      </w:r>
      <w:r>
        <w:t xml:space="preserve">verbal </w:t>
      </w:r>
      <w:r w:rsidRPr="00122AF4">
        <w:t xml:space="preserve">consent from the patient. This </w:t>
      </w:r>
      <w:r>
        <w:t xml:space="preserve">is to be recorded in the PMR </w:t>
      </w:r>
      <w:r w:rsidR="008A7C68">
        <w:t>(</w:t>
      </w:r>
      <w:r w:rsidR="008A7C68" w:rsidRPr="008A7C68">
        <w:t>in the patient's Counselling Notes, accessed by Alt+"U" or click "Counselling" in bottom right-hand corner of screen</w:t>
      </w:r>
      <w:r w:rsidR="008A7C68">
        <w:t xml:space="preserve">) </w:t>
      </w:r>
      <w:r>
        <w:t>to provide an audit trail if it is later required by the Privacy Officer.</w:t>
      </w:r>
    </w:p>
    <w:p w:rsidR="00401C37" w:rsidRPr="00161C6B" w:rsidRDefault="0004651C" w:rsidP="00161C6B">
      <w:pPr>
        <w:rPr>
          <w:lang w:val="en-US"/>
        </w:rPr>
      </w:pPr>
      <w:r w:rsidRPr="00161C6B">
        <w:rPr>
          <w:lang w:val="en-US"/>
        </w:rPr>
        <w:t>If the patient is no</w:t>
      </w:r>
      <w:r w:rsidR="0061361D">
        <w:rPr>
          <w:lang w:val="en-US"/>
        </w:rPr>
        <w:t>t</w:t>
      </w:r>
      <w:r w:rsidRPr="00161C6B">
        <w:rPr>
          <w:lang w:val="en-US"/>
        </w:rPr>
        <w:t xml:space="preserve"> </w:t>
      </w:r>
      <w:r w:rsidRPr="00161C6B">
        <w:rPr>
          <w:i/>
          <w:lang w:val="en-US"/>
        </w:rPr>
        <w:t>able</w:t>
      </w:r>
      <w:r w:rsidRPr="00161C6B">
        <w:rPr>
          <w:lang w:val="en-US"/>
        </w:rPr>
        <w:t xml:space="preserve"> to give permission to access their SCR, then </w:t>
      </w:r>
      <w:r w:rsidR="00834036">
        <w:rPr>
          <w:lang w:val="en-US"/>
        </w:rPr>
        <w:t>p</w:t>
      </w:r>
      <w:r w:rsidR="001F3AFF" w:rsidRPr="00161C6B">
        <w:rPr>
          <w:lang w:val="en-US"/>
        </w:rPr>
        <w:t xml:space="preserve">harmacists should </w:t>
      </w:r>
      <w:r w:rsidRPr="00161C6B">
        <w:rPr>
          <w:lang w:val="en-US"/>
        </w:rPr>
        <w:t xml:space="preserve">consider whether “access </w:t>
      </w:r>
      <w:r w:rsidR="00401C37" w:rsidRPr="00161C6B">
        <w:rPr>
          <w:lang w:val="en-US"/>
        </w:rPr>
        <w:t>i</w:t>
      </w:r>
      <w:r w:rsidRPr="00161C6B">
        <w:rPr>
          <w:lang w:val="en-US"/>
        </w:rPr>
        <w:t>n an emergency” should be progressed.</w:t>
      </w:r>
    </w:p>
    <w:p w:rsidR="00EC5DFA" w:rsidRPr="00122AF4" w:rsidRDefault="00EC5DFA" w:rsidP="00EC5DFA">
      <w:pPr>
        <w:tabs>
          <w:tab w:val="left" w:pos="2660"/>
        </w:tabs>
        <w:rPr>
          <w:b/>
          <w:color w:val="660066"/>
          <w:sz w:val="32"/>
        </w:rPr>
      </w:pPr>
      <w:r>
        <w:rPr>
          <w:b/>
          <w:color w:val="660066"/>
          <w:sz w:val="32"/>
        </w:rPr>
        <w:t>Procedure for Viewing a Summary Care Record</w:t>
      </w:r>
    </w:p>
    <w:p w:rsidR="00122AF4" w:rsidRDefault="005E55BD" w:rsidP="00F7124E">
      <w:pPr>
        <w:tabs>
          <w:tab w:val="left" w:pos="2660"/>
        </w:tabs>
        <w:rPr>
          <w:b/>
          <w:color w:val="660066"/>
          <w:sz w:val="32"/>
        </w:rPr>
      </w:pPr>
      <w:r>
        <w:rPr>
          <w:i/>
          <w:color w:val="000000"/>
        </w:rPr>
        <w:t xml:space="preserve">Pharmacists </w:t>
      </w:r>
      <w:r w:rsidR="00401C37">
        <w:rPr>
          <w:i/>
          <w:color w:val="000000"/>
        </w:rPr>
        <w:t>and Pharmacy Technician</w:t>
      </w:r>
      <w:r w:rsidR="00834036">
        <w:rPr>
          <w:i/>
          <w:color w:val="000000"/>
        </w:rPr>
        <w:t>s</w:t>
      </w:r>
      <w:r w:rsidR="00401C37">
        <w:rPr>
          <w:i/>
          <w:color w:val="000000"/>
        </w:rPr>
        <w:t xml:space="preserve"> </w:t>
      </w:r>
      <w:r>
        <w:rPr>
          <w:i/>
          <w:color w:val="000000"/>
        </w:rPr>
        <w:t xml:space="preserve">are </w:t>
      </w:r>
      <w:r w:rsidR="00F10335">
        <w:rPr>
          <w:i/>
          <w:color w:val="000000"/>
        </w:rPr>
        <w:t>authorised</w:t>
      </w:r>
      <w:r>
        <w:rPr>
          <w:i/>
          <w:color w:val="000000"/>
        </w:rPr>
        <w:t xml:space="preserve"> to undertake the following:</w:t>
      </w:r>
    </w:p>
    <w:p w:rsidR="00EC5DFA" w:rsidRDefault="00EC5DFA" w:rsidP="00EC5DFA">
      <w:pPr>
        <w:tabs>
          <w:tab w:val="left" w:pos="2660"/>
        </w:tabs>
        <w:rPr>
          <w:b/>
          <w:color w:val="FF0080"/>
        </w:rPr>
      </w:pPr>
      <w:r>
        <w:rPr>
          <w:b/>
          <w:color w:val="FF0080"/>
        </w:rPr>
        <w:t>P1 Establishing</w:t>
      </w:r>
      <w:r w:rsidRPr="00EC5DFA">
        <w:rPr>
          <w:b/>
          <w:color w:val="FF0080"/>
        </w:rPr>
        <w:t xml:space="preserve"> a need </w:t>
      </w:r>
      <w:r w:rsidR="00794AD6">
        <w:rPr>
          <w:b/>
          <w:color w:val="FF0080"/>
        </w:rPr>
        <w:t xml:space="preserve">to access (legitimate relationship (LR)) </w:t>
      </w:r>
      <w:r w:rsidRPr="00EC5DFA">
        <w:rPr>
          <w:b/>
          <w:color w:val="FF0080"/>
        </w:rPr>
        <w:t>and permission to view</w:t>
      </w:r>
    </w:p>
    <w:p w:rsidR="005E55BD" w:rsidRDefault="005E55BD" w:rsidP="005E55BD">
      <w:pPr>
        <w:numPr>
          <w:ilvl w:val="0"/>
          <w:numId w:val="15"/>
        </w:numPr>
        <w:spacing w:after="0" w:line="240" w:lineRule="auto"/>
      </w:pPr>
      <w:r>
        <w:t xml:space="preserve">Pharmacist </w:t>
      </w:r>
      <w:r w:rsidR="003214FC">
        <w:t xml:space="preserve">or </w:t>
      </w:r>
      <w:r w:rsidR="00834036">
        <w:t xml:space="preserve">Pharmacy </w:t>
      </w:r>
      <w:r w:rsidR="003214FC">
        <w:t xml:space="preserve">Technician </w:t>
      </w:r>
      <w:r>
        <w:t xml:space="preserve">makes a professional judgement that viewing the SCR would be beneficial to providing </w:t>
      </w:r>
      <w:r w:rsidR="00A669CE">
        <w:t xml:space="preserve">direct </w:t>
      </w:r>
      <w:r>
        <w:t>care to the patient.</w:t>
      </w:r>
    </w:p>
    <w:p w:rsidR="005E55BD" w:rsidRDefault="005E55BD" w:rsidP="005E55BD">
      <w:pPr>
        <w:spacing w:after="0" w:line="240" w:lineRule="auto"/>
        <w:ind w:left="720"/>
      </w:pPr>
    </w:p>
    <w:p w:rsidR="005E55BD" w:rsidRDefault="005E55BD" w:rsidP="005E55BD">
      <w:pPr>
        <w:numPr>
          <w:ilvl w:val="0"/>
          <w:numId w:val="15"/>
        </w:numPr>
        <w:spacing w:after="0" w:line="240" w:lineRule="auto"/>
      </w:pPr>
      <w:r>
        <w:t xml:space="preserve">The patient should be provided with an explanation about viewing </w:t>
      </w:r>
      <w:r w:rsidR="00F10335">
        <w:t>SCR, as</w:t>
      </w:r>
      <w:r>
        <w:t xml:space="preserve"> part of seeking permission to view. This should be simple, straightforward</w:t>
      </w:r>
      <w:r w:rsidR="00BF4821">
        <w:t>,</w:t>
      </w:r>
      <w:r>
        <w:t xml:space="preserve"> honest and appropriately communicated.</w:t>
      </w:r>
    </w:p>
    <w:p w:rsidR="005E55BD" w:rsidRDefault="005E55BD" w:rsidP="00F10335">
      <w:pPr>
        <w:spacing w:after="0" w:line="240" w:lineRule="auto"/>
      </w:pPr>
    </w:p>
    <w:p w:rsidR="005E55BD" w:rsidRDefault="005E55BD" w:rsidP="005E55BD">
      <w:pPr>
        <w:numPr>
          <w:ilvl w:val="0"/>
          <w:numId w:val="15"/>
        </w:numPr>
        <w:spacing w:after="0" w:line="240" w:lineRule="auto"/>
      </w:pPr>
      <w:r>
        <w:t xml:space="preserve">The patient’s permission and consent is sought to view their record. </w:t>
      </w:r>
    </w:p>
    <w:p w:rsidR="007605B3" w:rsidRPr="007605B3" w:rsidRDefault="007605B3" w:rsidP="007605B3">
      <w:pPr>
        <w:spacing w:after="0" w:line="240" w:lineRule="auto"/>
        <w:rPr>
          <w:highlight w:val="yellow"/>
        </w:rPr>
      </w:pPr>
    </w:p>
    <w:p w:rsidR="00794AD6" w:rsidRDefault="00794AD6" w:rsidP="00F25FD6">
      <w:pPr>
        <w:numPr>
          <w:ilvl w:val="0"/>
          <w:numId w:val="15"/>
        </w:numPr>
        <w:spacing w:after="0" w:line="240" w:lineRule="auto"/>
      </w:pPr>
      <w:r>
        <w:t>A</w:t>
      </w:r>
      <w:r w:rsidR="003214FC">
        <w:t xml:space="preserve"> contemporaneous note</w:t>
      </w:r>
      <w:r>
        <w:t xml:space="preserve"> should be made </w:t>
      </w:r>
      <w:r w:rsidR="003214FC">
        <w:t xml:space="preserve">in </w:t>
      </w:r>
      <w:r>
        <w:t xml:space="preserve">the PMR </w:t>
      </w:r>
      <w:r w:rsidR="00F25FD6">
        <w:t>(</w:t>
      </w:r>
      <w:r w:rsidR="00F25FD6" w:rsidRPr="00F25FD6">
        <w:t>in the patient's Counselling Notes, accessed by Alt+"U" or click "Counselling" in bottom right-hand corner of screen</w:t>
      </w:r>
      <w:r w:rsidR="00F25FD6">
        <w:t xml:space="preserve">) </w:t>
      </w:r>
      <w:r>
        <w:t>in order to record that SCR has been accessed</w:t>
      </w:r>
      <w:r w:rsidR="00A669CE">
        <w:t xml:space="preserve">, whether there was consent or it was emergency access, </w:t>
      </w:r>
      <w:r>
        <w:t>and any associated advice/provision.</w:t>
      </w:r>
    </w:p>
    <w:p w:rsidR="00F10335" w:rsidRPr="00302563" w:rsidRDefault="00F10335" w:rsidP="00F10335">
      <w:pPr>
        <w:spacing w:after="0" w:line="240" w:lineRule="auto"/>
      </w:pPr>
    </w:p>
    <w:p w:rsidR="005E55BD" w:rsidRDefault="005E55BD" w:rsidP="005E55BD">
      <w:pPr>
        <w:numPr>
          <w:ilvl w:val="0"/>
          <w:numId w:val="15"/>
        </w:numPr>
        <w:spacing w:after="0" w:line="240" w:lineRule="auto"/>
        <w:rPr>
          <w:lang w:val="en-US"/>
        </w:rPr>
      </w:pPr>
      <w:r w:rsidRPr="00302563">
        <w:t>If a competent adult refuses to give consent</w:t>
      </w:r>
      <w:r w:rsidRPr="00302563">
        <w:rPr>
          <w:lang w:val="en-US"/>
        </w:rPr>
        <w:t xml:space="preserve"> clearly explain the consequences of their decision, taking care that you do not pressure the patient to accept your advice. You should make a record in the PMR if a patient refuses to give consent. This should include the discussions that have taken place and the advice you gave. Do not proceed to view their SCR.</w:t>
      </w:r>
    </w:p>
    <w:p w:rsidR="00F10335" w:rsidRPr="00F10335" w:rsidRDefault="00F10335" w:rsidP="00F10335">
      <w:pPr>
        <w:spacing w:after="0" w:line="240" w:lineRule="auto"/>
        <w:rPr>
          <w:lang w:val="en-US"/>
        </w:rPr>
      </w:pPr>
    </w:p>
    <w:p w:rsidR="005E55BD" w:rsidRDefault="005E55BD" w:rsidP="00EC5DFA">
      <w:pPr>
        <w:numPr>
          <w:ilvl w:val="0"/>
          <w:numId w:val="15"/>
        </w:numPr>
        <w:spacing w:after="0" w:line="240" w:lineRule="auto"/>
      </w:pPr>
      <w:r w:rsidRPr="00302563">
        <w:t xml:space="preserve">For further information on capacity, children and young people refer </w:t>
      </w:r>
      <w:r w:rsidR="00BF4821">
        <w:t>to GPhC Guidance document on consent, referenced at the end of this document.</w:t>
      </w:r>
      <w:r w:rsidR="007C5E09">
        <w:t xml:space="preserve"> As a principle, for children, the child’s capability to provide consent for themselves should be considered. If they are not able to, then it is acceptable to accept consent from the parent/guardian. For adults where capacity is lacking, only those with legal authority can provide consent on another person’s behalf. If this is not in place, then the “access in an emergency” route should be considered.</w:t>
      </w:r>
    </w:p>
    <w:p w:rsidR="00326479" w:rsidRPr="00326479" w:rsidRDefault="00326479" w:rsidP="00326479">
      <w:pPr>
        <w:spacing w:after="0" w:line="240" w:lineRule="auto"/>
      </w:pPr>
    </w:p>
    <w:p w:rsidR="00EC5DFA" w:rsidRDefault="00EC5DFA" w:rsidP="00EC5DFA">
      <w:pPr>
        <w:tabs>
          <w:tab w:val="left" w:pos="2660"/>
        </w:tabs>
        <w:rPr>
          <w:b/>
          <w:color w:val="FF0080"/>
        </w:rPr>
      </w:pPr>
      <w:r>
        <w:rPr>
          <w:b/>
          <w:color w:val="FF0080"/>
        </w:rPr>
        <w:t xml:space="preserve">P2 </w:t>
      </w:r>
      <w:r w:rsidRPr="00EC5DFA">
        <w:rPr>
          <w:b/>
          <w:color w:val="FF0080"/>
        </w:rPr>
        <w:t xml:space="preserve">Locating a patient on the SCR </w:t>
      </w:r>
    </w:p>
    <w:p w:rsidR="005E55BD" w:rsidRDefault="00794AD6" w:rsidP="00794AD6">
      <w:pPr>
        <w:numPr>
          <w:ilvl w:val="0"/>
          <w:numId w:val="33"/>
        </w:numPr>
        <w:spacing w:after="0" w:line="240" w:lineRule="auto"/>
      </w:pPr>
      <w:r>
        <w:t xml:space="preserve">Use </w:t>
      </w:r>
      <w:r w:rsidR="005E55BD" w:rsidRPr="00302563">
        <w:t>any of the desktop computer</w:t>
      </w:r>
      <w:r>
        <w:t>s</w:t>
      </w:r>
      <w:r w:rsidR="005E55BD" w:rsidRPr="00302563">
        <w:t xml:space="preserve"> located</w:t>
      </w:r>
      <w:r>
        <w:t xml:space="preserve"> in the main dispensary</w:t>
      </w:r>
      <w:r w:rsidR="008A7C68">
        <w:t xml:space="preserve"> or consultation room, but not PMR record at reception desk</w:t>
      </w:r>
      <w:r w:rsidR="005E55BD" w:rsidRPr="00302563">
        <w:t xml:space="preserve"> </w:t>
      </w:r>
    </w:p>
    <w:p w:rsidR="005E55BD" w:rsidRPr="00302563" w:rsidRDefault="005E55BD" w:rsidP="005E55BD">
      <w:pPr>
        <w:spacing w:after="0" w:line="240" w:lineRule="auto"/>
        <w:ind w:left="720"/>
      </w:pPr>
    </w:p>
    <w:p w:rsidR="005E55BD" w:rsidRDefault="00794AD6" w:rsidP="00794AD6">
      <w:pPr>
        <w:numPr>
          <w:ilvl w:val="0"/>
          <w:numId w:val="33"/>
        </w:numPr>
        <w:spacing w:after="0" w:line="240" w:lineRule="auto"/>
      </w:pPr>
      <w:r>
        <w:t>If not already entered, e</w:t>
      </w:r>
      <w:r w:rsidR="005E55BD" w:rsidRPr="00302563">
        <w:t>nter your smartcard into the reader and when prompted enter PIN</w:t>
      </w:r>
      <w:r w:rsidR="005E55BD">
        <w:t>.</w:t>
      </w:r>
    </w:p>
    <w:p w:rsidR="005E55BD" w:rsidRPr="00302563" w:rsidRDefault="005E55BD" w:rsidP="005E55BD">
      <w:pPr>
        <w:spacing w:after="0" w:line="240" w:lineRule="auto"/>
      </w:pPr>
    </w:p>
    <w:p w:rsidR="005E55BD" w:rsidRDefault="00794AD6" w:rsidP="00794AD6">
      <w:pPr>
        <w:numPr>
          <w:ilvl w:val="0"/>
          <w:numId w:val="33"/>
        </w:numPr>
        <w:spacing w:after="0" w:line="240" w:lineRule="auto"/>
      </w:pPr>
      <w:r>
        <w:t xml:space="preserve"> </w:t>
      </w:r>
      <w:r w:rsidR="005E55BD" w:rsidRPr="00302563">
        <w:t>Log onto the NHS Spine portal</w:t>
      </w:r>
      <w:r>
        <w:t>/SCR application</w:t>
      </w:r>
      <w:r w:rsidR="005E55BD" w:rsidRPr="00302563">
        <w:t xml:space="preserve"> using the </w:t>
      </w:r>
      <w:r w:rsidR="008A7C68">
        <w:t xml:space="preserve">saved </w:t>
      </w:r>
      <w:r w:rsidR="00531403">
        <w:t>favourite</w:t>
      </w:r>
      <w:r w:rsidR="008A7C68">
        <w:t xml:space="preserve"> under “Info” on Internet Explorer</w:t>
      </w:r>
      <w:r w:rsidR="005E55BD">
        <w:t>.</w:t>
      </w:r>
    </w:p>
    <w:p w:rsidR="005E55BD" w:rsidRPr="00302563" w:rsidRDefault="005E55BD" w:rsidP="005E55BD">
      <w:pPr>
        <w:spacing w:after="0" w:line="240" w:lineRule="auto"/>
      </w:pPr>
    </w:p>
    <w:p w:rsidR="005E55BD" w:rsidRDefault="005E55BD" w:rsidP="00794AD6">
      <w:pPr>
        <w:numPr>
          <w:ilvl w:val="0"/>
          <w:numId w:val="33"/>
        </w:numPr>
        <w:spacing w:after="0" w:line="240" w:lineRule="auto"/>
      </w:pPr>
      <w:r w:rsidRPr="00302563">
        <w:t>Find the correct patient by entering the NHS number if known. This is the preferred method of searching</w:t>
      </w:r>
      <w:r w:rsidR="00F10335">
        <w:t>.</w:t>
      </w:r>
      <w:r w:rsidR="00594347">
        <w:t xml:space="preserve"> If you have already safely identified the patient in your PMR, you may wish to copy and paste the NHS number from there.</w:t>
      </w:r>
    </w:p>
    <w:p w:rsidR="00F10335" w:rsidRPr="00302563" w:rsidRDefault="00F10335" w:rsidP="00F10335">
      <w:pPr>
        <w:spacing w:after="0" w:line="240" w:lineRule="auto"/>
      </w:pPr>
    </w:p>
    <w:p w:rsidR="005E55BD" w:rsidRDefault="00F10335" w:rsidP="00794AD6">
      <w:pPr>
        <w:numPr>
          <w:ilvl w:val="0"/>
          <w:numId w:val="33"/>
        </w:numPr>
        <w:spacing w:after="0" w:line="240" w:lineRule="auto"/>
      </w:pPr>
      <w:r>
        <w:t xml:space="preserve">Should the </w:t>
      </w:r>
      <w:r w:rsidR="005E55BD" w:rsidRPr="00302563">
        <w:t>NHS number not be available</w:t>
      </w:r>
      <w:r w:rsidR="008A7C68">
        <w:t>,</w:t>
      </w:r>
      <w:r w:rsidR="005E55BD" w:rsidRPr="00302563">
        <w:t xml:space="preserve"> search using a minimum of surname, gender and date of birth. Postcode and first name can also be used. Advanced </w:t>
      </w:r>
      <w:r w:rsidRPr="00302563">
        <w:t>search</w:t>
      </w:r>
      <w:r w:rsidR="005E55BD" w:rsidRPr="00302563">
        <w:t xml:space="preserve"> functions are available if needed.</w:t>
      </w:r>
    </w:p>
    <w:p w:rsidR="00F10335" w:rsidRPr="00302563" w:rsidRDefault="00F10335" w:rsidP="00F10335">
      <w:pPr>
        <w:spacing w:after="0" w:line="240" w:lineRule="auto"/>
      </w:pPr>
    </w:p>
    <w:p w:rsidR="005E55BD" w:rsidRDefault="00F10335" w:rsidP="00794AD6">
      <w:pPr>
        <w:numPr>
          <w:ilvl w:val="0"/>
          <w:numId w:val="33"/>
        </w:numPr>
        <w:spacing w:after="0" w:line="240" w:lineRule="auto"/>
      </w:pPr>
      <w:r w:rsidRPr="00302563">
        <w:t>Locate the</w:t>
      </w:r>
      <w:r w:rsidR="005E55BD" w:rsidRPr="00302563">
        <w:t xml:space="preserve"> correc</w:t>
      </w:r>
      <w:r>
        <w:t>t patient from the patient list and t</w:t>
      </w:r>
      <w:r w:rsidR="00273C54">
        <w:t>o proceed click on the patient</w:t>
      </w:r>
      <w:r>
        <w:t>.</w:t>
      </w:r>
    </w:p>
    <w:p w:rsidR="00F10335" w:rsidRPr="00302563" w:rsidRDefault="00F10335" w:rsidP="00F10335">
      <w:pPr>
        <w:spacing w:after="0" w:line="240" w:lineRule="auto"/>
      </w:pPr>
    </w:p>
    <w:p w:rsidR="00F10335" w:rsidRPr="00F10335" w:rsidRDefault="00594347" w:rsidP="00794AD6">
      <w:pPr>
        <w:numPr>
          <w:ilvl w:val="0"/>
          <w:numId w:val="33"/>
        </w:numPr>
        <w:spacing w:after="0" w:line="240" w:lineRule="auto"/>
      </w:pPr>
      <w:r>
        <w:t xml:space="preserve">Over 75% of the population of England have an SCR as of August 2014, but in </w:t>
      </w:r>
      <w:r w:rsidR="005E55BD" w:rsidRPr="00302563">
        <w:t>the event that the patient has dissented from h</w:t>
      </w:r>
      <w:r w:rsidR="00F10335">
        <w:t xml:space="preserve">aving </w:t>
      </w:r>
      <w:r w:rsidR="00BF4821">
        <w:t>a SCR or their practice has not yet</w:t>
      </w:r>
      <w:r w:rsidR="005E55BD" w:rsidRPr="00302563">
        <w:t xml:space="preserve"> upload</w:t>
      </w:r>
      <w:r w:rsidR="00BF4821">
        <w:t>ed</w:t>
      </w:r>
      <w:r w:rsidR="005E55BD" w:rsidRPr="00302563">
        <w:t xml:space="preserve"> a SCR</w:t>
      </w:r>
      <w:r w:rsidR="00BF4821">
        <w:t>,</w:t>
      </w:r>
      <w:r w:rsidR="005E55BD" w:rsidRPr="00302563">
        <w:t xml:space="preserve"> a </w:t>
      </w:r>
      <w:r w:rsidR="00273C54">
        <w:t xml:space="preserve">cross in the top right of the </w:t>
      </w:r>
      <w:r w:rsidR="005E55BD" w:rsidRPr="00302563">
        <w:t xml:space="preserve">screen will display ‘No summary care record </w:t>
      </w:r>
      <w:r w:rsidR="00F10335" w:rsidRPr="00302563">
        <w:t>exists</w:t>
      </w:r>
      <w:r w:rsidR="005E55BD" w:rsidRPr="00302563">
        <w:t>’</w:t>
      </w:r>
      <w:r w:rsidR="00F10335">
        <w:t xml:space="preserve">. In such cases this should be explained to the patient and pharmacist will have to use their professional judgement and use </w:t>
      </w:r>
      <w:r w:rsidR="00F10335" w:rsidRPr="00F10335">
        <w:t>existing sources of information such as the patient’s GP, PMR</w:t>
      </w:r>
      <w:r w:rsidR="00F10335">
        <w:t xml:space="preserve"> or discussion with the patient to make clinical decisions.</w:t>
      </w:r>
    </w:p>
    <w:p w:rsidR="00F10335" w:rsidRPr="00302563" w:rsidRDefault="00F10335" w:rsidP="00F10335">
      <w:pPr>
        <w:spacing w:after="0" w:line="240" w:lineRule="auto"/>
        <w:ind w:left="720"/>
      </w:pPr>
    </w:p>
    <w:p w:rsidR="00EC5DFA" w:rsidRDefault="00EC5DFA" w:rsidP="00EC5DFA">
      <w:pPr>
        <w:tabs>
          <w:tab w:val="left" w:pos="2660"/>
        </w:tabs>
        <w:rPr>
          <w:b/>
          <w:color w:val="FF0080"/>
        </w:rPr>
      </w:pPr>
      <w:r>
        <w:rPr>
          <w:b/>
          <w:color w:val="FF0080"/>
        </w:rPr>
        <w:t xml:space="preserve">P3 </w:t>
      </w:r>
      <w:r w:rsidRPr="00EC5DFA">
        <w:rPr>
          <w:b/>
          <w:color w:val="FF0080"/>
        </w:rPr>
        <w:t>Permission to View / Access Management</w:t>
      </w:r>
    </w:p>
    <w:p w:rsidR="00F10335" w:rsidRDefault="00F10335" w:rsidP="00794AD6">
      <w:pPr>
        <w:numPr>
          <w:ilvl w:val="0"/>
          <w:numId w:val="33"/>
        </w:numPr>
        <w:spacing w:after="0" w:line="240" w:lineRule="auto"/>
      </w:pPr>
      <w:r>
        <w:t>Once a patient has been located</w:t>
      </w:r>
      <w:r w:rsidR="00BF4821">
        <w:t>,</w:t>
      </w:r>
      <w:r>
        <w:t xml:space="preserve"> the access management system will ask you to confirm that the patient has given you permission to view their </w:t>
      </w:r>
      <w:r w:rsidR="001812E3">
        <w:t>SCR; if</w:t>
      </w:r>
      <w:r w:rsidR="004D48B2">
        <w:t xml:space="preserve"> they have </w:t>
      </w:r>
      <w:r>
        <w:t>click yes to confirm.</w:t>
      </w:r>
    </w:p>
    <w:p w:rsidR="00F10335" w:rsidRDefault="00F10335" w:rsidP="00F10335">
      <w:pPr>
        <w:spacing w:after="0" w:line="240" w:lineRule="auto"/>
        <w:ind w:left="720"/>
      </w:pPr>
    </w:p>
    <w:p w:rsidR="00F10335" w:rsidRDefault="00273C54" w:rsidP="004D48B2">
      <w:pPr>
        <w:numPr>
          <w:ilvl w:val="0"/>
          <w:numId w:val="33"/>
        </w:numPr>
        <w:spacing w:after="0" w:line="240" w:lineRule="auto"/>
      </w:pPr>
      <w:r>
        <w:t>If you are a locum accessing SCR, you MUST select emergency access, and continue to detail this branch NACS code and details, which are</w:t>
      </w:r>
      <w:r w:rsidR="00531403">
        <w:t xml:space="preserve"> </w:t>
      </w:r>
      <w:r w:rsidR="00531403" w:rsidRPr="00531403">
        <w:rPr>
          <w:highlight w:val="yellow"/>
        </w:rPr>
        <w:t>………….</w:t>
      </w:r>
      <w:r>
        <w:t xml:space="preserve"> and also confirm the patient</w:t>
      </w:r>
      <w:r w:rsidR="004D48B2">
        <w:t>’</w:t>
      </w:r>
      <w:r>
        <w:t>s permission was received</w:t>
      </w:r>
      <w:r w:rsidR="004D48B2">
        <w:t xml:space="preserve"> or give a full explanation as to why access is being made without the patient’s permission.</w:t>
      </w:r>
    </w:p>
    <w:p w:rsidR="00273C54" w:rsidRDefault="00273C54" w:rsidP="00794AD6">
      <w:pPr>
        <w:numPr>
          <w:ilvl w:val="0"/>
          <w:numId w:val="33"/>
        </w:numPr>
        <w:spacing w:after="0" w:line="240" w:lineRule="auto"/>
      </w:pPr>
      <w:r>
        <w:t xml:space="preserve">If the patient is unable to give their permission, select the emergency access button and give a full </w:t>
      </w:r>
      <w:r w:rsidR="00B815D3">
        <w:t>explanation</w:t>
      </w:r>
      <w:r>
        <w:t xml:space="preserve"> as to why access is being made without the </w:t>
      </w:r>
      <w:r w:rsidR="00B815D3">
        <w:t>patient’s</w:t>
      </w:r>
      <w:r>
        <w:t xml:space="preserve"> permission.</w:t>
      </w:r>
    </w:p>
    <w:p w:rsidR="00326479" w:rsidRDefault="00326479" w:rsidP="00A23412">
      <w:pPr>
        <w:tabs>
          <w:tab w:val="left" w:pos="2660"/>
        </w:tabs>
        <w:rPr>
          <w:b/>
          <w:color w:val="FF0080"/>
        </w:rPr>
      </w:pPr>
    </w:p>
    <w:p w:rsidR="00A23412" w:rsidRDefault="00A23412" w:rsidP="00A23412">
      <w:pPr>
        <w:tabs>
          <w:tab w:val="left" w:pos="2660"/>
        </w:tabs>
        <w:rPr>
          <w:b/>
          <w:color w:val="FF0080"/>
        </w:rPr>
      </w:pPr>
      <w:r>
        <w:rPr>
          <w:b/>
          <w:color w:val="FF0080"/>
        </w:rPr>
        <w:t>P</w:t>
      </w:r>
      <w:r w:rsidR="00273C54">
        <w:rPr>
          <w:b/>
          <w:color w:val="FF0080"/>
        </w:rPr>
        <w:t>4</w:t>
      </w:r>
      <w:r>
        <w:rPr>
          <w:b/>
          <w:color w:val="FF0080"/>
        </w:rPr>
        <w:t xml:space="preserve"> </w:t>
      </w:r>
      <w:r w:rsidRPr="00A23412">
        <w:rPr>
          <w:b/>
          <w:color w:val="FF0080"/>
        </w:rPr>
        <w:t>Viewing the SCR</w:t>
      </w:r>
    </w:p>
    <w:p w:rsidR="00326479" w:rsidRDefault="00326479" w:rsidP="00273C54">
      <w:pPr>
        <w:numPr>
          <w:ilvl w:val="0"/>
          <w:numId w:val="33"/>
        </w:numPr>
        <w:spacing w:after="0" w:line="240" w:lineRule="auto"/>
      </w:pPr>
      <w:r>
        <w:t>The SCR will automatically launch with a screen showing the time and date when the GP last updated the SCR. Scrolling down will show medi</w:t>
      </w:r>
      <w:r w:rsidR="00834036">
        <w:t>cines</w:t>
      </w:r>
      <w:r>
        <w:t>, allergies and adverse reactions.</w:t>
      </w:r>
      <w:r w:rsidR="00723460">
        <w:t xml:space="preserve"> It may show additional information too.</w:t>
      </w:r>
    </w:p>
    <w:p w:rsidR="00326479" w:rsidRDefault="00326479" w:rsidP="00273C54">
      <w:pPr>
        <w:spacing w:after="0" w:line="240" w:lineRule="auto"/>
        <w:ind w:left="720"/>
      </w:pPr>
    </w:p>
    <w:p w:rsidR="00273C54" w:rsidRDefault="00326479" w:rsidP="00273C54">
      <w:pPr>
        <w:numPr>
          <w:ilvl w:val="0"/>
          <w:numId w:val="33"/>
        </w:numPr>
        <w:spacing w:after="0" w:line="240" w:lineRule="auto"/>
      </w:pPr>
      <w:r>
        <w:t xml:space="preserve">Only if </w:t>
      </w:r>
      <w:r w:rsidR="00BF4821">
        <w:t>need</w:t>
      </w:r>
      <w:r w:rsidR="00723460">
        <w:t>ed</w:t>
      </w:r>
      <w:r w:rsidR="00BF4821">
        <w:t xml:space="preserve"> should</w:t>
      </w:r>
      <w:r>
        <w:t xml:space="preserve"> the SCR be printed either on paper or to file </w:t>
      </w:r>
      <w:r w:rsidR="00B815D3">
        <w:t>e.g.</w:t>
      </w:r>
      <w:r>
        <w:t xml:space="preserve"> PDF</w:t>
      </w:r>
      <w:r w:rsidR="00723460">
        <w:t>.</w:t>
      </w:r>
      <w:r w:rsidR="00723460" w:rsidDel="00723460">
        <w:t xml:space="preserve"> </w:t>
      </w:r>
      <w:r w:rsidR="00723460">
        <w:t xml:space="preserve">If on paper it must be securely filed or securely destroyed. If a pdf, it may be securely attached to the patient </w:t>
      </w:r>
      <w:r w:rsidR="00403BDD">
        <w:t>PMR</w:t>
      </w:r>
      <w:r w:rsidR="00723460">
        <w:t xml:space="preserve"> record, or securely deleted.</w:t>
      </w:r>
      <w:r w:rsidR="00403BDD">
        <w:t xml:space="preserve"> </w:t>
      </w:r>
      <w:r>
        <w:t>Once the record has been viewed</w:t>
      </w:r>
      <w:r w:rsidR="00723460">
        <w:t>,</w:t>
      </w:r>
      <w:r>
        <w:t xml:space="preserve"> log out using the exit tab</w:t>
      </w:r>
      <w:r w:rsidR="00273C54">
        <w:t>.</w:t>
      </w:r>
    </w:p>
    <w:p w:rsidR="00273C54" w:rsidRDefault="00273C54" w:rsidP="00273C54">
      <w:pPr>
        <w:pStyle w:val="ListParagraph"/>
        <w:spacing w:line="240" w:lineRule="auto"/>
      </w:pPr>
    </w:p>
    <w:p w:rsidR="00273C54" w:rsidRDefault="00273C54" w:rsidP="00273C54">
      <w:pPr>
        <w:numPr>
          <w:ilvl w:val="0"/>
          <w:numId w:val="33"/>
        </w:numPr>
        <w:spacing w:after="0" w:line="240" w:lineRule="auto"/>
      </w:pPr>
      <w:r>
        <w:t xml:space="preserve">If you access SCR </w:t>
      </w:r>
      <w:r w:rsidR="00335ADB">
        <w:t>again within 45 minutes, you will be asked do you want to return to the last patient you accessed.</w:t>
      </w:r>
    </w:p>
    <w:p w:rsidR="00326479" w:rsidRDefault="00326479" w:rsidP="00273C54">
      <w:pPr>
        <w:tabs>
          <w:tab w:val="left" w:pos="2660"/>
        </w:tabs>
        <w:spacing w:line="240" w:lineRule="auto"/>
        <w:rPr>
          <w:b/>
          <w:color w:val="FF0080"/>
        </w:rPr>
      </w:pPr>
    </w:p>
    <w:p w:rsidR="00A23412" w:rsidRDefault="00326479" w:rsidP="00A23412">
      <w:pPr>
        <w:tabs>
          <w:tab w:val="left" w:pos="2660"/>
        </w:tabs>
        <w:rPr>
          <w:b/>
          <w:color w:val="FF0080"/>
        </w:rPr>
      </w:pPr>
      <w:r>
        <w:rPr>
          <w:b/>
          <w:color w:val="FF0080"/>
        </w:rPr>
        <w:t xml:space="preserve">P6 Notes on </w:t>
      </w:r>
      <w:r w:rsidR="00A23412" w:rsidRPr="00A23412">
        <w:rPr>
          <w:b/>
          <w:color w:val="FF0080"/>
        </w:rPr>
        <w:t>Interpreting the SCR</w:t>
      </w:r>
    </w:p>
    <w:p w:rsidR="00326479" w:rsidRDefault="00326479" w:rsidP="00326479">
      <w:pPr>
        <w:numPr>
          <w:ilvl w:val="0"/>
          <w:numId w:val="21"/>
        </w:numPr>
        <w:spacing w:after="0" w:line="240" w:lineRule="auto"/>
      </w:pPr>
      <w:r>
        <w:t xml:space="preserve">GP system suppliers are in the process of upgrading their systems to make improvements in the way that SCRs are displayed and updated. For a period of time some records may have the old view and some will be updated </w:t>
      </w:r>
    </w:p>
    <w:p w:rsidR="00326479" w:rsidRDefault="00326479" w:rsidP="00326479">
      <w:pPr>
        <w:spacing w:after="0" w:line="240" w:lineRule="auto"/>
        <w:ind w:left="720"/>
      </w:pPr>
    </w:p>
    <w:p w:rsidR="00326479" w:rsidRDefault="00326479" w:rsidP="00326479">
      <w:pPr>
        <w:numPr>
          <w:ilvl w:val="0"/>
          <w:numId w:val="21"/>
        </w:numPr>
        <w:spacing w:after="0" w:line="240" w:lineRule="auto"/>
      </w:pPr>
      <w:r>
        <w:t>The updated SCR view will show:</w:t>
      </w:r>
    </w:p>
    <w:p w:rsidR="00326479" w:rsidRDefault="00326479" w:rsidP="00326479">
      <w:pPr>
        <w:spacing w:after="0" w:line="240" w:lineRule="auto"/>
      </w:pPr>
    </w:p>
    <w:p w:rsidR="00326479" w:rsidRDefault="00326479" w:rsidP="00326479">
      <w:pPr>
        <w:numPr>
          <w:ilvl w:val="0"/>
          <w:numId w:val="23"/>
        </w:numPr>
        <w:spacing w:after="0" w:line="240" w:lineRule="auto"/>
      </w:pPr>
      <w:r>
        <w:t>12 months of acute medic</w:t>
      </w:r>
      <w:r w:rsidR="00834036">
        <w:t>ines</w:t>
      </w:r>
      <w:r>
        <w:t xml:space="preserve"> </w:t>
      </w:r>
    </w:p>
    <w:p w:rsidR="00326479" w:rsidRDefault="00326479" w:rsidP="00326479">
      <w:pPr>
        <w:numPr>
          <w:ilvl w:val="0"/>
          <w:numId w:val="23"/>
        </w:numPr>
        <w:spacing w:after="0" w:line="240" w:lineRule="auto"/>
      </w:pPr>
      <w:r>
        <w:t>Last issued date included</w:t>
      </w:r>
    </w:p>
    <w:p w:rsidR="00326479" w:rsidRDefault="00326479" w:rsidP="00326479">
      <w:pPr>
        <w:numPr>
          <w:ilvl w:val="0"/>
          <w:numId w:val="23"/>
        </w:numPr>
        <w:spacing w:after="0" w:line="240" w:lineRule="auto"/>
      </w:pPr>
      <w:r>
        <w:t>Text stating that care has been discontinued at a practice – shown when a patient has moved practice, clearly displayed at the top of the SCR.</w:t>
      </w:r>
    </w:p>
    <w:p w:rsidR="00326479" w:rsidRDefault="00B815D3" w:rsidP="00326479">
      <w:pPr>
        <w:numPr>
          <w:ilvl w:val="0"/>
          <w:numId w:val="23"/>
        </w:numPr>
        <w:spacing w:after="0" w:line="240" w:lineRule="auto"/>
      </w:pPr>
      <w:r>
        <w:t>6 months</w:t>
      </w:r>
      <w:r w:rsidR="00326479">
        <w:t xml:space="preserve"> of discontinued repeat medic</w:t>
      </w:r>
      <w:r w:rsidR="00834036">
        <w:t>ines</w:t>
      </w:r>
      <w:r w:rsidR="00326479">
        <w:t xml:space="preserve">.  </w:t>
      </w:r>
    </w:p>
    <w:p w:rsidR="00326479" w:rsidRDefault="00326479" w:rsidP="00326479">
      <w:pPr>
        <w:spacing w:after="0" w:line="240" w:lineRule="auto"/>
        <w:ind w:left="1440"/>
      </w:pPr>
    </w:p>
    <w:p w:rsidR="00326479" w:rsidRDefault="00326479" w:rsidP="00A23412">
      <w:pPr>
        <w:numPr>
          <w:ilvl w:val="0"/>
          <w:numId w:val="21"/>
        </w:numPr>
        <w:spacing w:after="0" w:line="240" w:lineRule="auto"/>
      </w:pPr>
      <w:r>
        <w:t>Be aware that you may sometimes see many of the same medic</w:t>
      </w:r>
      <w:r w:rsidR="00834036">
        <w:t>ines</w:t>
      </w:r>
      <w:r>
        <w:t xml:space="preserve"> listed in both repeat medic</w:t>
      </w:r>
      <w:r w:rsidR="00834036">
        <w:t>ines</w:t>
      </w:r>
      <w:r>
        <w:t xml:space="preserve"> and discontinued repeat medic</w:t>
      </w:r>
      <w:r w:rsidR="00834036">
        <w:t>ines</w:t>
      </w:r>
      <w:r>
        <w:t>. This is because some GP systems will add an entry into the discontinued repeat medic</w:t>
      </w:r>
      <w:r w:rsidR="00834036">
        <w:t>ines</w:t>
      </w:r>
      <w:r>
        <w:t xml:space="preserve"> when they </w:t>
      </w:r>
      <w:r w:rsidR="00B815D3">
        <w:t>re-authorise</w:t>
      </w:r>
      <w:r>
        <w:t xml:space="preserve"> a repeat medic</w:t>
      </w:r>
      <w:r w:rsidR="00834036">
        <w:t>ines</w:t>
      </w:r>
      <w:r>
        <w:t>.</w:t>
      </w:r>
      <w:r w:rsidR="00335ADB">
        <w:t xml:space="preserve"> </w:t>
      </w:r>
      <w:r w:rsidR="00B815D3">
        <w:t>This is in the process of being reviewed, but with the alternative being that no discontinued medic</w:t>
      </w:r>
      <w:r w:rsidR="00834036">
        <w:t>ines</w:t>
      </w:r>
      <w:r w:rsidR="00B815D3">
        <w:t xml:space="preserve"> will be displayed.</w:t>
      </w:r>
    </w:p>
    <w:p w:rsidR="00102D98" w:rsidRPr="00102D98" w:rsidRDefault="00102D98" w:rsidP="00BF4821">
      <w:pPr>
        <w:spacing w:after="0" w:line="240" w:lineRule="auto"/>
        <w:ind w:left="720"/>
      </w:pPr>
    </w:p>
    <w:p w:rsidR="00102D98" w:rsidRDefault="001A1093" w:rsidP="00102D98">
      <w:pPr>
        <w:tabs>
          <w:tab w:val="left" w:pos="2660"/>
        </w:tabs>
        <w:rPr>
          <w:b/>
          <w:color w:val="FF0080"/>
        </w:rPr>
      </w:pPr>
      <w:r>
        <w:rPr>
          <w:b/>
          <w:color w:val="FF0080"/>
        </w:rPr>
        <w:t>P7 Record Keeping: Record, Record, Record</w:t>
      </w:r>
    </w:p>
    <w:p w:rsidR="00102D98" w:rsidRPr="008A7C68" w:rsidRDefault="00326479" w:rsidP="008A7C68">
      <w:pPr>
        <w:numPr>
          <w:ilvl w:val="0"/>
          <w:numId w:val="33"/>
        </w:numPr>
        <w:tabs>
          <w:tab w:val="left" w:pos="709"/>
        </w:tabs>
        <w:rPr>
          <w:b/>
          <w:color w:val="FF0080"/>
        </w:rPr>
      </w:pPr>
      <w:r w:rsidRPr="001A1093">
        <w:t>A contemporaneous note should be made in the patient’s PMR notes</w:t>
      </w:r>
      <w:r w:rsidR="008A7C68">
        <w:t xml:space="preserve"> </w:t>
      </w:r>
      <w:r w:rsidR="00F25FD6">
        <w:t>(</w:t>
      </w:r>
      <w:r w:rsidR="008A7C68" w:rsidRPr="008A7C68">
        <w:t>in the patient's Counselling Notes, accessed by Alt+"U" or click "Counselling" in bottom right-hand corner of screen</w:t>
      </w:r>
      <w:r w:rsidR="00F25FD6">
        <w:t>)</w:t>
      </w:r>
      <w:r w:rsidRPr="001A1093">
        <w:t xml:space="preserve"> indicating that</w:t>
      </w:r>
      <w:r w:rsidR="009369DC" w:rsidRPr="001A1093">
        <w:t xml:space="preserve"> consent to view</w:t>
      </w:r>
      <w:r w:rsidRPr="001A1093">
        <w:t xml:space="preserve"> the SCR</w:t>
      </w:r>
      <w:r w:rsidR="009369DC" w:rsidRPr="001A1093">
        <w:t xml:space="preserve"> had been </w:t>
      </w:r>
      <w:r w:rsidR="001A1093" w:rsidRPr="001A1093">
        <w:t xml:space="preserve">obtained together with </w:t>
      </w:r>
      <w:r w:rsidR="00102D98">
        <w:t>a summary of the decisions</w:t>
      </w:r>
      <w:r w:rsidR="001A1093" w:rsidRPr="001A1093">
        <w:t xml:space="preserve"> </w:t>
      </w:r>
      <w:r w:rsidR="00102D98">
        <w:t>/</w:t>
      </w:r>
      <w:r w:rsidR="001A1093" w:rsidRPr="001A1093">
        <w:t>intervention</w:t>
      </w:r>
      <w:r w:rsidR="00102D98">
        <w:t>s made</w:t>
      </w:r>
      <w:r w:rsidR="001A1093" w:rsidRPr="001A1093">
        <w:t xml:space="preserve"> and outcomes. This could be </w:t>
      </w:r>
      <w:r w:rsidR="009369DC" w:rsidRPr="001A1093">
        <w:rPr>
          <w:lang w:val="en-US"/>
        </w:rPr>
        <w:t xml:space="preserve">invaluable at a later date in helping to demonstrate that the </w:t>
      </w:r>
      <w:r w:rsidR="00102D98" w:rsidRPr="001A1093">
        <w:rPr>
          <w:lang w:val="en-US"/>
        </w:rPr>
        <w:t>pharmacist provided the appropriate standard of care</w:t>
      </w:r>
      <w:r w:rsidR="001A1093" w:rsidRPr="001A1093">
        <w:rPr>
          <w:lang w:val="en-US"/>
        </w:rPr>
        <w:t xml:space="preserve"> at a particular time, and/or to account for professional decision making.</w:t>
      </w:r>
    </w:p>
    <w:p w:rsidR="005E55BD" w:rsidRPr="005E55BD" w:rsidRDefault="00D37B49" w:rsidP="00A23412">
      <w:pPr>
        <w:tabs>
          <w:tab w:val="left" w:pos="2660"/>
        </w:tabs>
        <w:rPr>
          <w:b/>
          <w:color w:val="660066"/>
          <w:sz w:val="32"/>
        </w:rPr>
      </w:pPr>
      <w:r>
        <w:rPr>
          <w:b/>
          <w:color w:val="660066"/>
          <w:sz w:val="32"/>
        </w:rPr>
        <w:t xml:space="preserve">Information Governance and Confidentiality </w:t>
      </w:r>
    </w:p>
    <w:p w:rsidR="005E55BD" w:rsidRDefault="00D37B49" w:rsidP="00A23412">
      <w:pPr>
        <w:tabs>
          <w:tab w:val="left" w:pos="2660"/>
        </w:tabs>
        <w:rPr>
          <w:b/>
          <w:color w:val="FF0080"/>
        </w:rPr>
      </w:pPr>
      <w:r>
        <w:rPr>
          <w:b/>
          <w:color w:val="FF0080"/>
        </w:rPr>
        <w:t>Internal Procedures</w:t>
      </w:r>
    </w:p>
    <w:p w:rsidR="001F3AFF" w:rsidRDefault="001F3AFF" w:rsidP="003E34D0">
      <w:pPr>
        <w:pStyle w:val="Pa0"/>
        <w:rPr>
          <w:rStyle w:val="A2"/>
          <w:rFonts w:ascii="Calibri" w:hAnsi="Calibri"/>
          <w:sz w:val="22"/>
          <w:szCs w:val="22"/>
        </w:rPr>
      </w:pPr>
      <w:r w:rsidRPr="00A67BC1">
        <w:rPr>
          <w:rStyle w:val="A2"/>
          <w:rFonts w:ascii="Calibri" w:hAnsi="Calibri"/>
          <w:sz w:val="22"/>
          <w:szCs w:val="22"/>
        </w:rPr>
        <w:t>Information governance (IG) refers to the processes by which personal information is collected, managed, transmitted and used in a secure and conf</w:t>
      </w:r>
      <w:r w:rsidR="001C58D4">
        <w:rPr>
          <w:rStyle w:val="A2"/>
          <w:rFonts w:ascii="Calibri" w:hAnsi="Calibri"/>
          <w:sz w:val="22"/>
          <w:szCs w:val="22"/>
        </w:rPr>
        <w:t>idential way in an organisation</w:t>
      </w:r>
      <w:r w:rsidR="00335ADB">
        <w:rPr>
          <w:rStyle w:val="A2"/>
          <w:rFonts w:ascii="Calibri" w:hAnsi="Calibri"/>
          <w:sz w:val="22"/>
          <w:szCs w:val="22"/>
        </w:rPr>
        <w:t xml:space="preserve">. The NHS Health </w:t>
      </w:r>
      <w:r w:rsidR="00B815D3">
        <w:rPr>
          <w:rStyle w:val="A2"/>
          <w:rFonts w:ascii="Calibri" w:hAnsi="Calibri"/>
          <w:sz w:val="22"/>
          <w:szCs w:val="22"/>
        </w:rPr>
        <w:t>and</w:t>
      </w:r>
      <w:r w:rsidR="00335ADB">
        <w:rPr>
          <w:rStyle w:val="A2"/>
          <w:rFonts w:ascii="Calibri" w:hAnsi="Calibri"/>
          <w:sz w:val="22"/>
          <w:szCs w:val="22"/>
        </w:rPr>
        <w:t xml:space="preserve"> Social Care Information Centre</w:t>
      </w:r>
      <w:r w:rsidR="00834036">
        <w:rPr>
          <w:rStyle w:val="A2"/>
          <w:rFonts w:ascii="Calibri" w:hAnsi="Calibri"/>
          <w:sz w:val="22"/>
          <w:szCs w:val="22"/>
        </w:rPr>
        <w:t xml:space="preserve"> (HSCIC)</w:t>
      </w:r>
      <w:r w:rsidRPr="00A67BC1">
        <w:rPr>
          <w:rStyle w:val="A2"/>
          <w:rFonts w:ascii="Calibri" w:hAnsi="Calibri"/>
          <w:sz w:val="22"/>
          <w:szCs w:val="22"/>
        </w:rPr>
        <w:t xml:space="preserve"> IG toolkit for community pharmacy provides the pharmacy profession with guidance and a compliance framework to enable them to address </w:t>
      </w:r>
      <w:r w:rsidR="00DA2D26">
        <w:rPr>
          <w:rStyle w:val="A2"/>
          <w:rFonts w:ascii="Calibri" w:hAnsi="Calibri"/>
          <w:sz w:val="22"/>
          <w:szCs w:val="22"/>
        </w:rPr>
        <w:t>Information Governance</w:t>
      </w:r>
      <w:r w:rsidRPr="00A67BC1">
        <w:rPr>
          <w:rStyle w:val="A2"/>
          <w:rFonts w:ascii="Calibri" w:hAnsi="Calibri"/>
          <w:sz w:val="22"/>
          <w:szCs w:val="22"/>
        </w:rPr>
        <w:t>.</w:t>
      </w:r>
    </w:p>
    <w:p w:rsidR="00D37B49" w:rsidRDefault="00D37B49" w:rsidP="00A23412">
      <w:pPr>
        <w:tabs>
          <w:tab w:val="left" w:pos="2660"/>
        </w:tabs>
      </w:pPr>
    </w:p>
    <w:p w:rsidR="003E33E5" w:rsidRDefault="001F3AFF" w:rsidP="00A23412">
      <w:pPr>
        <w:tabs>
          <w:tab w:val="left" w:pos="2660"/>
        </w:tabs>
      </w:pPr>
      <w:r w:rsidRPr="00A67BC1">
        <w:rPr>
          <w:rStyle w:val="A2"/>
          <w:sz w:val="22"/>
          <w:szCs w:val="22"/>
        </w:rPr>
        <w:t>All patient identifiable data used by pharmacists</w:t>
      </w:r>
      <w:r w:rsidR="003214FC">
        <w:rPr>
          <w:rStyle w:val="A2"/>
          <w:sz w:val="22"/>
          <w:szCs w:val="22"/>
        </w:rPr>
        <w:t xml:space="preserve"> and technicians</w:t>
      </w:r>
      <w:r w:rsidRPr="00A67BC1">
        <w:rPr>
          <w:rStyle w:val="A2"/>
          <w:sz w:val="22"/>
          <w:szCs w:val="22"/>
        </w:rPr>
        <w:t>, whether accessed from national NHS care records or stored in local or networked systems is subject to relevant NHS IG requirements. These cover many aspects of good practice in information management and security including prevention of accidental disclosure, security of hardware and software, staff training, management of critical incidents and various others.</w:t>
      </w:r>
      <w:r w:rsidR="00846456">
        <w:rPr>
          <w:b/>
          <w:color w:val="FF0080"/>
        </w:rPr>
        <w:t xml:space="preserve"> </w:t>
      </w:r>
      <w:r w:rsidR="003E33E5" w:rsidRPr="00846456">
        <w:t>This document should be read in conjunction with Informati</w:t>
      </w:r>
      <w:r w:rsidR="00335ADB">
        <w:t xml:space="preserve">on governance SOPs </w:t>
      </w:r>
      <w:r w:rsidR="00D37B49">
        <w:t>which</w:t>
      </w:r>
      <w:r w:rsidR="00846456">
        <w:t xml:space="preserve"> includes our annual audit and assessment of compliance with the IG standards.</w:t>
      </w:r>
    </w:p>
    <w:p w:rsidR="00D37B49" w:rsidRDefault="00D37B49" w:rsidP="00A23412">
      <w:pPr>
        <w:tabs>
          <w:tab w:val="left" w:pos="2660"/>
        </w:tabs>
      </w:pPr>
      <w:r>
        <w:t xml:space="preserve">Our internal information governance lead is </w:t>
      </w:r>
      <w:r w:rsidR="00E61702" w:rsidRPr="00531403">
        <w:rPr>
          <w:highlight w:val="yellow"/>
        </w:rPr>
        <w:t>…………………………………………………….…..</w:t>
      </w:r>
    </w:p>
    <w:p w:rsidR="00D37B49" w:rsidRDefault="00D37B49" w:rsidP="00A23412">
      <w:pPr>
        <w:tabs>
          <w:tab w:val="left" w:pos="2660"/>
        </w:tabs>
      </w:pPr>
      <w:r>
        <w:rPr>
          <w:b/>
          <w:color w:val="FF0080"/>
        </w:rPr>
        <w:t>Information Governance Controls: Local Privacy Officer</w:t>
      </w:r>
    </w:p>
    <w:p w:rsidR="00846456" w:rsidRDefault="00846456" w:rsidP="00A23412">
      <w:pPr>
        <w:tabs>
          <w:tab w:val="left" w:pos="2660"/>
        </w:tabs>
      </w:pPr>
      <w:r>
        <w:t xml:space="preserve">Viewing SCRs will trigger </w:t>
      </w:r>
      <w:r w:rsidR="00D37B49">
        <w:t xml:space="preserve">a mechanism of </w:t>
      </w:r>
      <w:r w:rsidR="00BF4821">
        <w:t>alerts, which</w:t>
      </w:r>
      <w:r w:rsidR="00D37B49">
        <w:t xml:space="preserve"> are visible to the local privacy officer. These will be regularly reviewed to ensure that access is appropriate and may be audited against the </w:t>
      </w:r>
      <w:r w:rsidR="00586654">
        <w:t xml:space="preserve">record of oral consent </w:t>
      </w:r>
      <w:r w:rsidR="00D37B49">
        <w:t xml:space="preserve">that we will </w:t>
      </w:r>
      <w:r w:rsidR="00586654">
        <w:t xml:space="preserve">record in the </w:t>
      </w:r>
      <w:r w:rsidR="00335ADB">
        <w:t>PMR</w:t>
      </w:r>
      <w:r w:rsidR="00D37B49">
        <w:t>.</w:t>
      </w:r>
    </w:p>
    <w:p w:rsidR="00E61702" w:rsidRDefault="00D37B49" w:rsidP="00A23412">
      <w:pPr>
        <w:tabs>
          <w:tab w:val="left" w:pos="2660"/>
        </w:tabs>
      </w:pPr>
      <w:r>
        <w:t>The local privacy officer</w:t>
      </w:r>
      <w:r w:rsidR="00586654">
        <w:t>s</w:t>
      </w:r>
      <w:r>
        <w:t xml:space="preserve"> </w:t>
      </w:r>
      <w:r w:rsidR="00586654">
        <w:t>are</w:t>
      </w:r>
      <w:r>
        <w:t>:</w:t>
      </w:r>
      <w:r w:rsidR="00E61702">
        <w:t xml:space="preserve"> </w:t>
      </w:r>
    </w:p>
    <w:p w:rsidR="00586654" w:rsidRPr="00531403" w:rsidRDefault="00E61702" w:rsidP="00E61702">
      <w:pPr>
        <w:pStyle w:val="ListParagraph"/>
        <w:numPr>
          <w:ilvl w:val="0"/>
          <w:numId w:val="35"/>
        </w:numPr>
        <w:tabs>
          <w:tab w:val="left" w:pos="2660"/>
        </w:tabs>
        <w:rPr>
          <w:highlight w:val="yellow"/>
        </w:rPr>
      </w:pPr>
      <w:r w:rsidRPr="00531403">
        <w:rPr>
          <w:highlight w:val="yellow"/>
        </w:rPr>
        <w:t>……………………………………………………………………………………………………….</w:t>
      </w:r>
    </w:p>
    <w:p w:rsidR="00E61702" w:rsidRPr="00531403" w:rsidRDefault="00E61702" w:rsidP="00E61702">
      <w:pPr>
        <w:pStyle w:val="ListParagraph"/>
        <w:numPr>
          <w:ilvl w:val="0"/>
          <w:numId w:val="35"/>
        </w:numPr>
        <w:tabs>
          <w:tab w:val="left" w:pos="2660"/>
        </w:tabs>
        <w:rPr>
          <w:highlight w:val="yellow"/>
        </w:rPr>
      </w:pPr>
      <w:r w:rsidRPr="00531403">
        <w:rPr>
          <w:highlight w:val="yellow"/>
        </w:rPr>
        <w:t>……………………………………………………………………………………………………….</w:t>
      </w:r>
    </w:p>
    <w:p w:rsidR="005E55BD" w:rsidRPr="00D37B49" w:rsidRDefault="00586654" w:rsidP="00A23412">
      <w:pPr>
        <w:tabs>
          <w:tab w:val="left" w:pos="2660"/>
        </w:tabs>
        <w:rPr>
          <w:b/>
          <w:color w:val="660066"/>
          <w:sz w:val="32"/>
        </w:rPr>
      </w:pPr>
      <w:r>
        <w:rPr>
          <w:b/>
          <w:color w:val="660066"/>
          <w:sz w:val="32"/>
        </w:rPr>
        <w:t>Liability</w:t>
      </w:r>
    </w:p>
    <w:p w:rsidR="00102D98" w:rsidRDefault="00102D98" w:rsidP="00A23412">
      <w:pPr>
        <w:tabs>
          <w:tab w:val="left" w:pos="2660"/>
        </w:tabs>
        <w:rPr>
          <w:rStyle w:val="A2"/>
          <w:sz w:val="22"/>
        </w:rPr>
      </w:pPr>
      <w:r>
        <w:rPr>
          <w:rStyle w:val="A2"/>
          <w:sz w:val="22"/>
        </w:rPr>
        <w:t>The SCR service</w:t>
      </w:r>
      <w:r w:rsidRPr="00102D98">
        <w:rPr>
          <w:rStyle w:val="A2"/>
          <w:sz w:val="22"/>
        </w:rPr>
        <w:t xml:space="preserve"> provide</w:t>
      </w:r>
      <w:r>
        <w:rPr>
          <w:rStyle w:val="A2"/>
          <w:sz w:val="22"/>
        </w:rPr>
        <w:t>s</w:t>
      </w:r>
      <w:r w:rsidRPr="00102D98">
        <w:rPr>
          <w:rStyle w:val="A2"/>
          <w:sz w:val="22"/>
        </w:rPr>
        <w:t xml:space="preserve"> guidance for healthcare professionals about liabil</w:t>
      </w:r>
      <w:r>
        <w:rPr>
          <w:rStyle w:val="A2"/>
          <w:sz w:val="22"/>
        </w:rPr>
        <w:t xml:space="preserve">ity associated with record use. However </w:t>
      </w:r>
      <w:r w:rsidRPr="00102D98">
        <w:rPr>
          <w:rStyle w:val="A2"/>
          <w:sz w:val="22"/>
        </w:rPr>
        <w:t>the current consensus is that healthcare professionals have a number of record sources available to them, and that they should use their professional judgement concerning the best record to access in each instance. For example, if a pharmacist has a query about the supply arrangements for a patient receiving a clinical trial medicine, then it would be professionally justifiable for the pharmacist to seek the information to answer the query from systems other than the SCR. It is accepted professional practice that pharmacists currently complete many routine tasks (such as straightforward over the counter sales or the supply of repeat medication) without referring to additional sources of information, and having access to the summary care record is not expected to radically alter this situation.</w:t>
      </w:r>
    </w:p>
    <w:p w:rsidR="00A23412" w:rsidRPr="00AA0ED4" w:rsidRDefault="00102D98" w:rsidP="00A23412">
      <w:pPr>
        <w:tabs>
          <w:tab w:val="left" w:pos="2660"/>
        </w:tabs>
        <w:rPr>
          <w:rFonts w:cs="Frutiger 55 Roman"/>
          <w:color w:val="000000"/>
          <w:szCs w:val="18"/>
        </w:rPr>
      </w:pPr>
      <w:r>
        <w:rPr>
          <w:rStyle w:val="A2"/>
          <w:sz w:val="22"/>
        </w:rPr>
        <w:t xml:space="preserve">Our NPA Professional </w:t>
      </w:r>
      <w:r w:rsidR="003E33E5">
        <w:rPr>
          <w:rStyle w:val="A2"/>
          <w:sz w:val="22"/>
        </w:rPr>
        <w:t>Indemnity</w:t>
      </w:r>
      <w:r>
        <w:rPr>
          <w:rStyle w:val="A2"/>
          <w:sz w:val="22"/>
        </w:rPr>
        <w:t xml:space="preserve"> Insurance covers the use of the SCR.</w:t>
      </w:r>
    </w:p>
    <w:p w:rsidR="00326479" w:rsidRPr="005E55BD" w:rsidRDefault="00D37B49" w:rsidP="00326479">
      <w:pPr>
        <w:tabs>
          <w:tab w:val="left" w:pos="2660"/>
        </w:tabs>
        <w:rPr>
          <w:b/>
          <w:color w:val="660066"/>
          <w:sz w:val="32"/>
        </w:rPr>
      </w:pPr>
      <w:r>
        <w:rPr>
          <w:b/>
          <w:color w:val="660066"/>
          <w:sz w:val="32"/>
        </w:rPr>
        <w:t xml:space="preserve">Technical Specification </w:t>
      </w:r>
    </w:p>
    <w:p w:rsidR="00AA0ED4" w:rsidRPr="00724823" w:rsidRDefault="00AA0ED4" w:rsidP="00724823">
      <w:pPr>
        <w:pStyle w:val="NoSpacing1"/>
        <w:numPr>
          <w:ilvl w:val="0"/>
          <w:numId w:val="31"/>
        </w:numPr>
        <w:rPr>
          <w:lang w:val="en-US"/>
        </w:rPr>
      </w:pPr>
      <w:r w:rsidRPr="00724823">
        <w:rPr>
          <w:lang w:val="en-US"/>
        </w:rPr>
        <w:t>Allowing access to t</w:t>
      </w:r>
      <w:r w:rsidR="00724823" w:rsidRPr="00724823">
        <w:rPr>
          <w:lang w:val="en-US"/>
        </w:rPr>
        <w:t xml:space="preserve">he appropriate site – NHS Spine Portal </w:t>
      </w:r>
      <w:r w:rsidRPr="00724823">
        <w:rPr>
          <w:lang w:val="en-US"/>
        </w:rPr>
        <w:t>Summary Care Record Application (SCRa) via N3 connection</w:t>
      </w:r>
    </w:p>
    <w:p w:rsidR="00AA0ED4" w:rsidRPr="00724823" w:rsidRDefault="00081583" w:rsidP="00724823">
      <w:pPr>
        <w:pStyle w:val="NoSpacing1"/>
        <w:numPr>
          <w:ilvl w:val="0"/>
          <w:numId w:val="31"/>
        </w:numPr>
        <w:rPr>
          <w:lang w:val="en-US"/>
        </w:rPr>
      </w:pPr>
      <w:r>
        <w:rPr>
          <w:lang w:val="en-US"/>
        </w:rPr>
        <w:t>Checking java version</w:t>
      </w:r>
      <w:r w:rsidR="00AA0ED4" w:rsidRPr="00724823">
        <w:rPr>
          <w:lang w:val="en-US"/>
        </w:rPr>
        <w:t xml:space="preserve"> to comply with</w:t>
      </w:r>
      <w:r>
        <w:rPr>
          <w:lang w:val="en-US"/>
        </w:rPr>
        <w:t xml:space="preserve"> HSCIC</w:t>
      </w:r>
      <w:r w:rsidR="00AA0ED4" w:rsidRPr="00724823">
        <w:rPr>
          <w:lang w:val="en-US"/>
        </w:rPr>
        <w:t> </w:t>
      </w:r>
      <w:r w:rsidR="00724823" w:rsidRPr="00724823">
        <w:rPr>
          <w:lang w:val="en-US"/>
        </w:rPr>
        <w:t>requirements</w:t>
      </w:r>
    </w:p>
    <w:p w:rsidR="00AA0ED4" w:rsidRPr="00724823" w:rsidRDefault="00AA0ED4" w:rsidP="00724823">
      <w:pPr>
        <w:pStyle w:val="NoSpacing1"/>
        <w:numPr>
          <w:ilvl w:val="0"/>
          <w:numId w:val="31"/>
        </w:numPr>
        <w:rPr>
          <w:lang w:val="en-US"/>
        </w:rPr>
      </w:pPr>
      <w:r w:rsidRPr="00724823">
        <w:rPr>
          <w:lang w:val="en-US"/>
        </w:rPr>
        <w:t>Checking Identity agent version is correct </w:t>
      </w:r>
    </w:p>
    <w:p w:rsidR="00724823" w:rsidRPr="00724823" w:rsidRDefault="00724823" w:rsidP="00724823">
      <w:pPr>
        <w:pStyle w:val="NoSpacing1"/>
        <w:numPr>
          <w:ilvl w:val="0"/>
          <w:numId w:val="31"/>
        </w:numPr>
        <w:rPr>
          <w:lang w:val="en-US"/>
        </w:rPr>
      </w:pPr>
      <w:r>
        <w:rPr>
          <w:lang w:val="en-US"/>
        </w:rPr>
        <w:t>Pharmacist</w:t>
      </w:r>
      <w:r w:rsidR="00081583">
        <w:rPr>
          <w:lang w:val="en-US"/>
        </w:rPr>
        <w:t>/Pharmacy Technician</w:t>
      </w:r>
      <w:r>
        <w:rPr>
          <w:lang w:val="en-US"/>
        </w:rPr>
        <w:t xml:space="preserve"> smart cards. S</w:t>
      </w:r>
      <w:r w:rsidR="00AA0ED4" w:rsidRPr="00724823">
        <w:rPr>
          <w:lang w:val="en-US"/>
        </w:rPr>
        <w:t>pecific roll based access control added to their cards in order to access patient information. </w:t>
      </w:r>
      <w:r w:rsidRPr="00724823">
        <w:rPr>
          <w:lang w:val="en-US"/>
        </w:rPr>
        <w:t xml:space="preserve"> In addition to role code </w:t>
      </w:r>
      <w:r>
        <w:rPr>
          <w:lang w:val="en-US"/>
        </w:rPr>
        <w:t>R8003 [EPSr2] the following have been added to smart cards by our spons</w:t>
      </w:r>
      <w:r w:rsidR="00081583">
        <w:rPr>
          <w:lang w:val="en-US"/>
        </w:rPr>
        <w:t>or</w:t>
      </w:r>
      <w:r>
        <w:rPr>
          <w:lang w:val="en-US"/>
        </w:rPr>
        <w:t>:</w:t>
      </w:r>
    </w:p>
    <w:p w:rsidR="00AA0ED4" w:rsidRPr="00724823" w:rsidRDefault="00AA0ED4" w:rsidP="00724823">
      <w:pPr>
        <w:pStyle w:val="NoSpacing1"/>
        <w:numPr>
          <w:ilvl w:val="1"/>
          <w:numId w:val="31"/>
        </w:numPr>
        <w:rPr>
          <w:lang w:val="en-US"/>
        </w:rPr>
      </w:pPr>
      <w:r w:rsidRPr="00724823">
        <w:rPr>
          <w:lang w:val="en-US"/>
        </w:rPr>
        <w:t>B0257 - View non ETP Clinical data</w:t>
      </w:r>
    </w:p>
    <w:p w:rsidR="00AA0ED4" w:rsidRPr="00724823" w:rsidRDefault="00AA0ED4" w:rsidP="00724823">
      <w:pPr>
        <w:pStyle w:val="NoSpacing1"/>
        <w:numPr>
          <w:ilvl w:val="1"/>
          <w:numId w:val="31"/>
        </w:numPr>
        <w:rPr>
          <w:lang w:val="en-US"/>
        </w:rPr>
      </w:pPr>
      <w:r w:rsidRPr="00724823">
        <w:rPr>
          <w:lang w:val="en-US"/>
        </w:rPr>
        <w:t>B0264 - Access SCR application</w:t>
      </w:r>
    </w:p>
    <w:p w:rsidR="00AA0ED4" w:rsidRDefault="00AA0ED4" w:rsidP="001C58D4">
      <w:pPr>
        <w:pStyle w:val="NoSpacing1"/>
        <w:numPr>
          <w:ilvl w:val="1"/>
          <w:numId w:val="31"/>
        </w:numPr>
        <w:rPr>
          <w:lang w:val="en-US"/>
        </w:rPr>
      </w:pPr>
      <w:r w:rsidRPr="00724823">
        <w:rPr>
          <w:lang w:val="en-US"/>
        </w:rPr>
        <w:t>B0085 - claim a relationship with a patient</w:t>
      </w:r>
    </w:p>
    <w:p w:rsidR="00081583" w:rsidRDefault="00081583" w:rsidP="001C58D4">
      <w:pPr>
        <w:pStyle w:val="NoSpacing1"/>
        <w:numPr>
          <w:ilvl w:val="1"/>
          <w:numId w:val="31"/>
        </w:numPr>
        <w:rPr>
          <w:lang w:val="en-US"/>
        </w:rPr>
      </w:pPr>
      <w:r w:rsidRPr="00081583">
        <w:rPr>
          <w:lang w:val="en-US"/>
        </w:rPr>
        <w:t>B0168 - View SCR when permission could not be requested</w:t>
      </w:r>
    </w:p>
    <w:p w:rsidR="001C58D4" w:rsidRPr="001C58D4" w:rsidRDefault="001C58D4" w:rsidP="001C58D4">
      <w:pPr>
        <w:pStyle w:val="NoSpacing1"/>
        <w:ind w:left="1440"/>
        <w:rPr>
          <w:lang w:val="en-US"/>
        </w:rPr>
      </w:pPr>
    </w:p>
    <w:p w:rsidR="00724823" w:rsidRPr="00724823" w:rsidRDefault="00724823" w:rsidP="00724823">
      <w:pPr>
        <w:tabs>
          <w:tab w:val="left" w:pos="2660"/>
        </w:tabs>
        <w:rPr>
          <w:b/>
          <w:color w:val="660066"/>
          <w:sz w:val="32"/>
        </w:rPr>
      </w:pPr>
      <w:r w:rsidRPr="00724823">
        <w:rPr>
          <w:b/>
          <w:color w:val="660066"/>
          <w:sz w:val="32"/>
        </w:rPr>
        <w:t xml:space="preserve">Training and Preparation </w:t>
      </w:r>
    </w:p>
    <w:p w:rsidR="003214FC" w:rsidRDefault="00724823" w:rsidP="00EC5DFA">
      <w:pPr>
        <w:tabs>
          <w:tab w:val="left" w:pos="2660"/>
        </w:tabs>
      </w:pPr>
      <w:r w:rsidRPr="001C58D4">
        <w:t xml:space="preserve">Pharmacists </w:t>
      </w:r>
      <w:r w:rsidR="003214FC">
        <w:t xml:space="preserve">and </w:t>
      </w:r>
      <w:r w:rsidR="00834036">
        <w:t xml:space="preserve">pharmacy </w:t>
      </w:r>
      <w:r w:rsidR="003214FC">
        <w:t xml:space="preserve">technicians </w:t>
      </w:r>
      <w:r w:rsidRPr="001C58D4">
        <w:t xml:space="preserve">will be provided with a copy of this SOP and </w:t>
      </w:r>
      <w:r w:rsidR="003848C1" w:rsidRPr="001C58D4">
        <w:t xml:space="preserve">training </w:t>
      </w:r>
      <w:r w:rsidR="00081583">
        <w:t>notes from HSCIC/local support</w:t>
      </w:r>
      <w:r w:rsidR="003848C1" w:rsidRPr="001C58D4">
        <w:t xml:space="preserve"> on viewing SCR.</w:t>
      </w:r>
      <w:r w:rsidR="001C58D4">
        <w:t xml:space="preserve"> </w:t>
      </w:r>
    </w:p>
    <w:p w:rsidR="003848C1" w:rsidRDefault="003848C1" w:rsidP="00EC5DFA">
      <w:pPr>
        <w:tabs>
          <w:tab w:val="left" w:pos="2660"/>
        </w:tabs>
      </w:pPr>
      <w:r w:rsidRPr="001C58D4">
        <w:t>Pharmacists</w:t>
      </w:r>
      <w:r w:rsidR="003214FC">
        <w:t xml:space="preserve"> and </w:t>
      </w:r>
      <w:r w:rsidR="00834036">
        <w:t xml:space="preserve">pharmacy </w:t>
      </w:r>
      <w:r w:rsidR="003214FC">
        <w:t>technicians</w:t>
      </w:r>
      <w:r w:rsidRPr="001C58D4">
        <w:t xml:space="preserve"> should make sure they are familiar with our</w:t>
      </w:r>
      <w:r w:rsidR="001C58D4">
        <w:t xml:space="preserve"> internal</w:t>
      </w:r>
      <w:r w:rsidRPr="001C58D4">
        <w:t xml:space="preserve"> information governance procedures</w:t>
      </w:r>
      <w:r w:rsidR="003214FC">
        <w:t xml:space="preserve">, </w:t>
      </w:r>
      <w:r w:rsidRPr="001C58D4">
        <w:t>along with GPhC guidance on consent and confidentiality</w:t>
      </w:r>
      <w:r w:rsidR="003214FC">
        <w:t xml:space="preserve"> and may choose to make a CPD entry. </w:t>
      </w:r>
    </w:p>
    <w:p w:rsidR="001C58D4" w:rsidRDefault="001C58D4" w:rsidP="00EC5DFA">
      <w:pPr>
        <w:tabs>
          <w:tab w:val="left" w:pos="2660"/>
        </w:tabs>
        <w:rPr>
          <w:b/>
          <w:color w:val="FF0080"/>
        </w:rPr>
      </w:pPr>
      <w:r w:rsidRPr="001C58D4">
        <w:rPr>
          <w:b/>
          <w:color w:val="FF0080"/>
        </w:rPr>
        <w:t>SCR Test NHS Numbers</w:t>
      </w:r>
    </w:p>
    <w:p w:rsidR="001C58D4" w:rsidRPr="001C58D4" w:rsidRDefault="001C58D4" w:rsidP="00EC5DFA">
      <w:pPr>
        <w:tabs>
          <w:tab w:val="left" w:pos="2660"/>
        </w:tabs>
      </w:pPr>
      <w:r w:rsidRPr="001C58D4">
        <w:t xml:space="preserve">The following NHS numbers have been provided by </w:t>
      </w:r>
      <w:r w:rsidR="00081583">
        <w:t>HSCIC</w:t>
      </w:r>
      <w:r w:rsidRPr="001C58D4">
        <w:t xml:space="preserve"> that can be used to test access or used during training purposes: </w:t>
      </w:r>
    </w:p>
    <w:p w:rsidR="00081583" w:rsidRPr="00081583" w:rsidRDefault="00081583" w:rsidP="00081583">
      <w:pPr>
        <w:pStyle w:val="NoSpacing1"/>
        <w:rPr>
          <w:lang w:val="en-US"/>
        </w:rPr>
      </w:pPr>
      <w:r w:rsidRPr="00081583">
        <w:rPr>
          <w:lang w:val="en-US"/>
        </w:rPr>
        <w:t>9990402132</w:t>
      </w:r>
    </w:p>
    <w:p w:rsidR="00081583" w:rsidRPr="00081583" w:rsidRDefault="00081583" w:rsidP="00081583">
      <w:pPr>
        <w:pStyle w:val="NoSpacing1"/>
        <w:rPr>
          <w:lang w:val="en-US"/>
        </w:rPr>
      </w:pPr>
      <w:r w:rsidRPr="00081583">
        <w:rPr>
          <w:lang w:val="en-US"/>
        </w:rPr>
        <w:t>9990252947</w:t>
      </w:r>
    </w:p>
    <w:p w:rsidR="00081583" w:rsidRDefault="00081583" w:rsidP="00081583">
      <w:pPr>
        <w:pStyle w:val="NoSpacing1"/>
        <w:rPr>
          <w:lang w:val="en-US"/>
        </w:rPr>
      </w:pPr>
      <w:r w:rsidRPr="00081583">
        <w:rPr>
          <w:lang w:val="en-US"/>
        </w:rPr>
        <w:t>9990252955</w:t>
      </w:r>
    </w:p>
    <w:p w:rsidR="001C58D4" w:rsidRPr="00AA0ED4" w:rsidRDefault="001C58D4" w:rsidP="00081583">
      <w:pPr>
        <w:pStyle w:val="NoSpacing1"/>
        <w:rPr>
          <w:lang w:val="en-US"/>
        </w:rPr>
      </w:pPr>
      <w:r w:rsidRPr="00AA0ED4">
        <w:rPr>
          <w:lang w:val="en-US"/>
        </w:rPr>
        <w:t>9990243271</w:t>
      </w:r>
    </w:p>
    <w:p w:rsidR="001C58D4" w:rsidRDefault="001C58D4" w:rsidP="001C58D4">
      <w:pPr>
        <w:pStyle w:val="NoSpacing1"/>
        <w:rPr>
          <w:lang w:val="en-US"/>
        </w:rPr>
      </w:pPr>
      <w:r w:rsidRPr="00AA0ED4">
        <w:rPr>
          <w:lang w:val="en-US"/>
        </w:rPr>
        <w:t>9990281025 (this NHS number</w:t>
      </w:r>
      <w:r>
        <w:rPr>
          <w:lang w:val="en-US"/>
        </w:rPr>
        <w:t xml:space="preserve"> has an enriched SCR – this will not be commonly seen)</w:t>
      </w:r>
    </w:p>
    <w:p w:rsidR="009E0177" w:rsidRDefault="009E0177" w:rsidP="001C58D4">
      <w:pPr>
        <w:pStyle w:val="NoSpacing1"/>
        <w:rPr>
          <w:lang w:val="en-US"/>
        </w:rPr>
      </w:pPr>
    </w:p>
    <w:p w:rsidR="001C58D4" w:rsidRPr="001C58D4" w:rsidRDefault="001C58D4" w:rsidP="001C58D4">
      <w:pPr>
        <w:pStyle w:val="NoSpacing1"/>
      </w:pPr>
    </w:p>
    <w:p w:rsidR="003848C1" w:rsidRDefault="003848C1" w:rsidP="00EC5DFA">
      <w:pPr>
        <w:tabs>
          <w:tab w:val="left" w:pos="2660"/>
        </w:tabs>
        <w:rPr>
          <w:b/>
          <w:color w:val="FF0080"/>
        </w:rPr>
      </w:pPr>
      <w:r>
        <w:rPr>
          <w:b/>
          <w:color w:val="FF0080"/>
        </w:rPr>
        <w:t>Further reading:</w:t>
      </w:r>
      <w:r w:rsidR="00A13D26">
        <w:rPr>
          <w:b/>
          <w:color w:val="FF0080"/>
        </w:rPr>
        <w:t xml:space="preserve"> </w:t>
      </w:r>
    </w:p>
    <w:p w:rsidR="003848C1" w:rsidRDefault="001C58D4" w:rsidP="003848C1">
      <w:pPr>
        <w:rPr>
          <w:sz w:val="20"/>
        </w:rPr>
      </w:pPr>
      <w:r w:rsidRPr="001C58D4">
        <w:rPr>
          <w:sz w:val="20"/>
        </w:rPr>
        <w:t xml:space="preserve">Department of </w:t>
      </w:r>
      <w:r w:rsidR="00E61702" w:rsidRPr="001C58D4">
        <w:rPr>
          <w:sz w:val="20"/>
        </w:rPr>
        <w:t>Health. The</w:t>
      </w:r>
      <w:r w:rsidRPr="001C58D4">
        <w:rPr>
          <w:sz w:val="20"/>
        </w:rPr>
        <w:t xml:space="preserve"> Care Record Guarantee. </w:t>
      </w:r>
      <w:r w:rsidR="003848C1" w:rsidRPr="001C58D4">
        <w:rPr>
          <w:sz w:val="20"/>
        </w:rPr>
        <w:t>January 2011, Version 5</w:t>
      </w:r>
      <w:r w:rsidR="00A13D26">
        <w:rPr>
          <w:sz w:val="20"/>
        </w:rPr>
        <w:br/>
      </w:r>
      <w:hyperlink r:id="rId11" w:history="1">
        <w:r w:rsidR="00A13D26" w:rsidRPr="008876C9">
          <w:rPr>
            <w:rStyle w:val="Hyperlink"/>
            <w:sz w:val="20"/>
          </w:rPr>
          <w:t>http://systems.hscic.gov.uk/rasmartcards/strategy/nhscrg</w:t>
        </w:r>
      </w:hyperlink>
    </w:p>
    <w:p w:rsidR="003848C1" w:rsidRDefault="001C58D4" w:rsidP="003848C1">
      <w:pPr>
        <w:rPr>
          <w:sz w:val="20"/>
        </w:rPr>
      </w:pPr>
      <w:r w:rsidRPr="001C58D4">
        <w:rPr>
          <w:sz w:val="20"/>
        </w:rPr>
        <w:t xml:space="preserve">RPS, APTUK, NPA. </w:t>
      </w:r>
      <w:r w:rsidR="003848C1" w:rsidRPr="001C58D4">
        <w:rPr>
          <w:sz w:val="20"/>
        </w:rPr>
        <w:t>Electronic Health Records: Guidance for Community Pharma</w:t>
      </w:r>
      <w:r w:rsidRPr="001C58D4">
        <w:rPr>
          <w:sz w:val="20"/>
        </w:rPr>
        <w:t xml:space="preserve">cists and Pharmacy Technicians. </w:t>
      </w:r>
      <w:r w:rsidR="003848C1" w:rsidRPr="001C58D4">
        <w:rPr>
          <w:sz w:val="20"/>
        </w:rPr>
        <w:t>November 2012</w:t>
      </w:r>
      <w:r w:rsidR="00A13D26">
        <w:rPr>
          <w:sz w:val="20"/>
        </w:rPr>
        <w:br/>
      </w:r>
      <w:hyperlink r:id="rId12" w:history="1">
        <w:r w:rsidR="00A13D26" w:rsidRPr="008876C9">
          <w:rPr>
            <w:rStyle w:val="Hyperlink"/>
            <w:sz w:val="20"/>
          </w:rPr>
          <w:t>http://www.rpharms.com/promoting-pharmacy-pdfs/electronic-health-records-guidance-dec2012.pdf</w:t>
        </w:r>
      </w:hyperlink>
    </w:p>
    <w:p w:rsidR="001C58D4" w:rsidRPr="001C58D4" w:rsidRDefault="001C58D4" w:rsidP="001C58D4">
      <w:pPr>
        <w:rPr>
          <w:sz w:val="20"/>
        </w:rPr>
      </w:pPr>
      <w:r w:rsidRPr="001C58D4">
        <w:rPr>
          <w:sz w:val="20"/>
        </w:rPr>
        <w:t>Genera</w:t>
      </w:r>
      <w:r w:rsidR="00A13D26">
        <w:rPr>
          <w:sz w:val="20"/>
        </w:rPr>
        <w:t xml:space="preserve">l Pharmaceutical Council </w:t>
      </w:r>
      <w:r w:rsidRPr="001C58D4">
        <w:rPr>
          <w:sz w:val="20"/>
        </w:rPr>
        <w:t>Standard for Confidentiali</w:t>
      </w:r>
      <w:r w:rsidR="00A13D26">
        <w:rPr>
          <w:sz w:val="20"/>
        </w:rPr>
        <w:t>ty 2012</w:t>
      </w:r>
      <w:r w:rsidR="00A13D26">
        <w:rPr>
          <w:sz w:val="20"/>
        </w:rPr>
        <w:br/>
      </w:r>
      <w:hyperlink r:id="rId13" w:history="1">
        <w:r w:rsidR="00A13D26" w:rsidRPr="008876C9">
          <w:rPr>
            <w:rStyle w:val="Hyperlink"/>
            <w:sz w:val="20"/>
          </w:rPr>
          <w:t>http://www.pharmacyregulation.org/sites/default/files/Guidance%20on%20Confidentiality_April%202012.pdf</w:t>
        </w:r>
      </w:hyperlink>
      <w:r w:rsidR="00A13D26">
        <w:rPr>
          <w:sz w:val="20"/>
        </w:rPr>
        <w:br/>
      </w:r>
      <w:r w:rsidR="00A13D26">
        <w:rPr>
          <w:sz w:val="20"/>
        </w:rPr>
        <w:br/>
      </w:r>
      <w:r w:rsidRPr="001C58D4">
        <w:rPr>
          <w:sz w:val="20"/>
        </w:rPr>
        <w:t xml:space="preserve">General Pharmaceutical Council. </w:t>
      </w:r>
      <w:r w:rsidR="00A13D26">
        <w:rPr>
          <w:sz w:val="20"/>
        </w:rPr>
        <w:t>Standard for Consent. 2012</w:t>
      </w:r>
      <w:r w:rsidR="00A13D26">
        <w:rPr>
          <w:sz w:val="20"/>
        </w:rPr>
        <w:br/>
      </w:r>
      <w:hyperlink r:id="rId14" w:history="1">
        <w:r w:rsidR="00A13D26" w:rsidRPr="008876C9">
          <w:rPr>
            <w:rStyle w:val="Hyperlink"/>
            <w:sz w:val="20"/>
          </w:rPr>
          <w:t>http://www.pharmacyregulation.org/sites/default/files/GPHC%20Guidance%20on%20consent.pdf</w:t>
        </w:r>
      </w:hyperlink>
      <w:r w:rsidR="00A13D26">
        <w:rPr>
          <w:sz w:val="20"/>
        </w:rPr>
        <w:br/>
      </w:r>
      <w:r w:rsidR="00A13D26">
        <w:rPr>
          <w:sz w:val="20"/>
        </w:rPr>
        <w:br/>
        <w:t>Summary care record</w:t>
      </w:r>
      <w:r w:rsidR="00A13D26">
        <w:rPr>
          <w:sz w:val="20"/>
        </w:rPr>
        <w:br/>
      </w:r>
      <w:hyperlink r:id="rId15" w:history="1">
        <w:r w:rsidR="00A13D26" w:rsidRPr="008876C9">
          <w:rPr>
            <w:rStyle w:val="Hyperlink"/>
            <w:sz w:val="20"/>
          </w:rPr>
          <w:t>http://systems.hscic.gov.uk/scr</w:t>
        </w:r>
      </w:hyperlink>
    </w:p>
    <w:sectPr w:rsidR="001C58D4" w:rsidRPr="001C58D4" w:rsidSect="00E6170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22A" w:rsidRDefault="002B422A" w:rsidP="00357E7A">
      <w:pPr>
        <w:spacing w:after="0" w:line="240" w:lineRule="auto"/>
      </w:pPr>
      <w:r>
        <w:separator/>
      </w:r>
    </w:p>
    <w:p w:rsidR="002B422A" w:rsidRDefault="002B422A"/>
  </w:endnote>
  <w:endnote w:type="continuationSeparator" w:id="0">
    <w:p w:rsidR="002B422A" w:rsidRDefault="002B422A" w:rsidP="00357E7A">
      <w:pPr>
        <w:spacing w:after="0" w:line="240" w:lineRule="auto"/>
      </w:pPr>
      <w:r>
        <w:continuationSeparator/>
      </w:r>
    </w:p>
    <w:p w:rsidR="002B422A" w:rsidRDefault="002B4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utiger 55 Roman">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A93" w:rsidRDefault="00012A93" w:rsidP="005840BC">
    <w:pPr>
      <w:pStyle w:val="Footer"/>
      <w:pBdr>
        <w:top w:val="single" w:sz="4" w:space="1" w:color="auto"/>
      </w:pBdr>
      <w:tabs>
        <w:tab w:val="clear" w:pos="4513"/>
        <w:tab w:val="clear" w:pos="9026"/>
        <w:tab w:val="center" w:pos="5386"/>
        <w:tab w:val="right" w:pos="10773"/>
      </w:tabs>
    </w:pPr>
    <w:r>
      <w:tab/>
    </w:r>
    <w:r>
      <w:tab/>
      <w:t xml:space="preserve">Page </w:t>
    </w:r>
    <w:r w:rsidR="00E76009">
      <w:fldChar w:fldCharType="begin"/>
    </w:r>
    <w:r w:rsidR="002564F9">
      <w:instrText xml:space="preserve"> PAGE   \* MERGEFORMAT </w:instrText>
    </w:r>
    <w:r w:rsidR="00E76009">
      <w:fldChar w:fldCharType="separate"/>
    </w:r>
    <w:r w:rsidR="00F34018">
      <w:rPr>
        <w:noProof/>
      </w:rPr>
      <w:t>1</w:t>
    </w:r>
    <w:r w:rsidR="00E76009">
      <w:rPr>
        <w:noProof/>
      </w:rPr>
      <w:fldChar w:fldCharType="end"/>
    </w:r>
    <w:r>
      <w:t xml:space="preserve"> of </w:t>
    </w:r>
    <w:r w:rsidR="00CB7588">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22A" w:rsidRDefault="002B422A" w:rsidP="00357E7A">
      <w:pPr>
        <w:spacing w:after="0" w:line="240" w:lineRule="auto"/>
      </w:pPr>
      <w:r>
        <w:separator/>
      </w:r>
    </w:p>
    <w:p w:rsidR="002B422A" w:rsidRDefault="002B422A"/>
  </w:footnote>
  <w:footnote w:type="continuationSeparator" w:id="0">
    <w:p w:rsidR="002B422A" w:rsidRDefault="002B422A" w:rsidP="00357E7A">
      <w:pPr>
        <w:spacing w:after="0" w:line="240" w:lineRule="auto"/>
      </w:pPr>
      <w:r>
        <w:continuationSeparator/>
      </w:r>
    </w:p>
    <w:p w:rsidR="002B422A" w:rsidRDefault="002B42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D25"/>
    <w:multiLevelType w:val="hybridMultilevel"/>
    <w:tmpl w:val="F2B81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64ACF"/>
    <w:multiLevelType w:val="hybridMultilevel"/>
    <w:tmpl w:val="5DB0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A3E1D"/>
    <w:multiLevelType w:val="hybridMultilevel"/>
    <w:tmpl w:val="1E2E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4F9C"/>
    <w:multiLevelType w:val="hybridMultilevel"/>
    <w:tmpl w:val="058C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910AA"/>
    <w:multiLevelType w:val="hybridMultilevel"/>
    <w:tmpl w:val="FAB81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D79D9"/>
    <w:multiLevelType w:val="hybridMultilevel"/>
    <w:tmpl w:val="A4DE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92B29"/>
    <w:multiLevelType w:val="hybridMultilevel"/>
    <w:tmpl w:val="0B28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90DF0"/>
    <w:multiLevelType w:val="hybridMultilevel"/>
    <w:tmpl w:val="B19A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91F6E"/>
    <w:multiLevelType w:val="hybridMultilevel"/>
    <w:tmpl w:val="D6087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9282A"/>
    <w:multiLevelType w:val="hybridMultilevel"/>
    <w:tmpl w:val="0764EBAC"/>
    <w:lvl w:ilvl="0" w:tplc="08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C28A2"/>
    <w:multiLevelType w:val="hybridMultilevel"/>
    <w:tmpl w:val="1834F0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00237"/>
    <w:multiLevelType w:val="hybridMultilevel"/>
    <w:tmpl w:val="5D3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37B5B"/>
    <w:multiLevelType w:val="hybridMultilevel"/>
    <w:tmpl w:val="633E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8392F"/>
    <w:multiLevelType w:val="hybridMultilevel"/>
    <w:tmpl w:val="018E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A772B"/>
    <w:multiLevelType w:val="hybridMultilevel"/>
    <w:tmpl w:val="8EBE7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E65CA9"/>
    <w:multiLevelType w:val="hybridMultilevel"/>
    <w:tmpl w:val="F2B81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7579F"/>
    <w:multiLevelType w:val="hybridMultilevel"/>
    <w:tmpl w:val="70CA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E1E54"/>
    <w:multiLevelType w:val="hybridMultilevel"/>
    <w:tmpl w:val="9F3416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62752E"/>
    <w:multiLevelType w:val="hybridMultilevel"/>
    <w:tmpl w:val="5BAC58C8"/>
    <w:lvl w:ilvl="0" w:tplc="08090001">
      <w:start w:val="1"/>
      <w:numFmt w:val="bullet"/>
      <w:lvlText w:val=""/>
      <w:lvlJc w:val="left"/>
      <w:pPr>
        <w:tabs>
          <w:tab w:val="num" w:pos="765"/>
        </w:tabs>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DCA2268"/>
    <w:multiLevelType w:val="hybridMultilevel"/>
    <w:tmpl w:val="173A7558"/>
    <w:lvl w:ilvl="0" w:tplc="4E3EFEB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80F6A"/>
    <w:multiLevelType w:val="hybridMultilevel"/>
    <w:tmpl w:val="02920E7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1B636B1"/>
    <w:multiLevelType w:val="hybridMultilevel"/>
    <w:tmpl w:val="DB7A76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565736"/>
    <w:multiLevelType w:val="hybridMultilevel"/>
    <w:tmpl w:val="FDA2F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27C10"/>
    <w:multiLevelType w:val="hybridMultilevel"/>
    <w:tmpl w:val="A7F02FD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4A46D8"/>
    <w:multiLevelType w:val="hybridMultilevel"/>
    <w:tmpl w:val="06A2B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DA4F68"/>
    <w:multiLevelType w:val="hybridMultilevel"/>
    <w:tmpl w:val="37C6163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660D7"/>
    <w:multiLevelType w:val="hybridMultilevel"/>
    <w:tmpl w:val="0FB60536"/>
    <w:lvl w:ilvl="0" w:tplc="60367792">
      <w:start w:val="1"/>
      <w:numFmt w:val="upp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BD42B7"/>
    <w:multiLevelType w:val="hybridMultilevel"/>
    <w:tmpl w:val="75A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E7AB6"/>
    <w:multiLevelType w:val="hybridMultilevel"/>
    <w:tmpl w:val="F3E06A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576B82"/>
    <w:multiLevelType w:val="hybridMultilevel"/>
    <w:tmpl w:val="4E48B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002CE"/>
    <w:multiLevelType w:val="hybridMultilevel"/>
    <w:tmpl w:val="7C9E5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D6DB6"/>
    <w:multiLevelType w:val="hybridMultilevel"/>
    <w:tmpl w:val="173A7558"/>
    <w:lvl w:ilvl="0" w:tplc="4E3EFEB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4013C"/>
    <w:multiLevelType w:val="hybridMultilevel"/>
    <w:tmpl w:val="EF3461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D5977"/>
    <w:multiLevelType w:val="hybridMultilevel"/>
    <w:tmpl w:val="DF1E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45E7D"/>
    <w:multiLevelType w:val="hybridMultilevel"/>
    <w:tmpl w:val="371E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7"/>
  </w:num>
  <w:num w:numId="4">
    <w:abstractNumId w:val="28"/>
  </w:num>
  <w:num w:numId="5">
    <w:abstractNumId w:val="18"/>
  </w:num>
  <w:num w:numId="6">
    <w:abstractNumId w:val="9"/>
  </w:num>
  <w:num w:numId="7">
    <w:abstractNumId w:val="1"/>
  </w:num>
  <w:num w:numId="8">
    <w:abstractNumId w:val="12"/>
  </w:num>
  <w:num w:numId="9">
    <w:abstractNumId w:val="27"/>
  </w:num>
  <w:num w:numId="10">
    <w:abstractNumId w:val="34"/>
  </w:num>
  <w:num w:numId="11">
    <w:abstractNumId w:val="16"/>
  </w:num>
  <w:num w:numId="12">
    <w:abstractNumId w:val="4"/>
  </w:num>
  <w:num w:numId="13">
    <w:abstractNumId w:val="3"/>
  </w:num>
  <w:num w:numId="14">
    <w:abstractNumId w:val="11"/>
  </w:num>
  <w:num w:numId="15">
    <w:abstractNumId w:val="19"/>
  </w:num>
  <w:num w:numId="16">
    <w:abstractNumId w:val="29"/>
  </w:num>
  <w:num w:numId="17">
    <w:abstractNumId w:val="8"/>
  </w:num>
  <w:num w:numId="18">
    <w:abstractNumId w:val="0"/>
  </w:num>
  <w:num w:numId="19">
    <w:abstractNumId w:val="15"/>
  </w:num>
  <w:num w:numId="20">
    <w:abstractNumId w:val="13"/>
  </w:num>
  <w:num w:numId="21">
    <w:abstractNumId w:val="32"/>
  </w:num>
  <w:num w:numId="22">
    <w:abstractNumId w:val="21"/>
  </w:num>
  <w:num w:numId="23">
    <w:abstractNumId w:val="23"/>
  </w:num>
  <w:num w:numId="24">
    <w:abstractNumId w:val="30"/>
  </w:num>
  <w:num w:numId="25">
    <w:abstractNumId w:val="2"/>
  </w:num>
  <w:num w:numId="26">
    <w:abstractNumId w:val="22"/>
  </w:num>
  <w:num w:numId="27">
    <w:abstractNumId w:val="24"/>
  </w:num>
  <w:num w:numId="28">
    <w:abstractNumId w:val="33"/>
  </w:num>
  <w:num w:numId="29">
    <w:abstractNumId w:val="7"/>
  </w:num>
  <w:num w:numId="30">
    <w:abstractNumId w:val="10"/>
  </w:num>
  <w:num w:numId="31">
    <w:abstractNumId w:val="25"/>
  </w:num>
  <w:num w:numId="32">
    <w:abstractNumId w:val="5"/>
  </w:num>
  <w:num w:numId="33">
    <w:abstractNumId w:val="31"/>
  </w:num>
  <w:num w:numId="34">
    <w:abstractNumId w:val="6"/>
  </w:num>
  <w:num w:numId="3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7A"/>
    <w:rsid w:val="00012A93"/>
    <w:rsid w:val="000172DC"/>
    <w:rsid w:val="000346F1"/>
    <w:rsid w:val="0004651C"/>
    <w:rsid w:val="00054902"/>
    <w:rsid w:val="00057DD1"/>
    <w:rsid w:val="00074BFC"/>
    <w:rsid w:val="00081583"/>
    <w:rsid w:val="000A61BA"/>
    <w:rsid w:val="000E551A"/>
    <w:rsid w:val="000F5DE5"/>
    <w:rsid w:val="00102D98"/>
    <w:rsid w:val="00122AF4"/>
    <w:rsid w:val="00161C6B"/>
    <w:rsid w:val="00171D57"/>
    <w:rsid w:val="001812E3"/>
    <w:rsid w:val="001A1093"/>
    <w:rsid w:val="001C58D4"/>
    <w:rsid w:val="001C6AD0"/>
    <w:rsid w:val="001D1362"/>
    <w:rsid w:val="001D61A6"/>
    <w:rsid w:val="001F3AFF"/>
    <w:rsid w:val="001F562A"/>
    <w:rsid w:val="00224717"/>
    <w:rsid w:val="00243D6D"/>
    <w:rsid w:val="0025419A"/>
    <w:rsid w:val="00254723"/>
    <w:rsid w:val="002564F9"/>
    <w:rsid w:val="00273C54"/>
    <w:rsid w:val="00280760"/>
    <w:rsid w:val="00293C06"/>
    <w:rsid w:val="00295A53"/>
    <w:rsid w:val="002A2F27"/>
    <w:rsid w:val="002B422A"/>
    <w:rsid w:val="002B4A6A"/>
    <w:rsid w:val="002E277E"/>
    <w:rsid w:val="002F69C9"/>
    <w:rsid w:val="002F7B9E"/>
    <w:rsid w:val="00301035"/>
    <w:rsid w:val="00306229"/>
    <w:rsid w:val="003214FC"/>
    <w:rsid w:val="00326479"/>
    <w:rsid w:val="00335ADB"/>
    <w:rsid w:val="0034166B"/>
    <w:rsid w:val="003469A3"/>
    <w:rsid w:val="003515F1"/>
    <w:rsid w:val="003552E7"/>
    <w:rsid w:val="00357E7A"/>
    <w:rsid w:val="003773CD"/>
    <w:rsid w:val="003848C1"/>
    <w:rsid w:val="0039171F"/>
    <w:rsid w:val="003955F7"/>
    <w:rsid w:val="003D6145"/>
    <w:rsid w:val="003E33E5"/>
    <w:rsid w:val="003E34D0"/>
    <w:rsid w:val="003E7DD8"/>
    <w:rsid w:val="00401C37"/>
    <w:rsid w:val="00403AFD"/>
    <w:rsid w:val="00403BDD"/>
    <w:rsid w:val="00417593"/>
    <w:rsid w:val="00420CAA"/>
    <w:rsid w:val="00434418"/>
    <w:rsid w:val="004560EF"/>
    <w:rsid w:val="0049159B"/>
    <w:rsid w:val="00492237"/>
    <w:rsid w:val="004A55D8"/>
    <w:rsid w:val="004B595A"/>
    <w:rsid w:val="004C46D4"/>
    <w:rsid w:val="004D13E6"/>
    <w:rsid w:val="004D48B2"/>
    <w:rsid w:val="004E6D35"/>
    <w:rsid w:val="00504C2F"/>
    <w:rsid w:val="00521449"/>
    <w:rsid w:val="00531403"/>
    <w:rsid w:val="0054154B"/>
    <w:rsid w:val="005518B5"/>
    <w:rsid w:val="005531CC"/>
    <w:rsid w:val="00564865"/>
    <w:rsid w:val="00564A7E"/>
    <w:rsid w:val="005840BC"/>
    <w:rsid w:val="00586654"/>
    <w:rsid w:val="00594347"/>
    <w:rsid w:val="00596038"/>
    <w:rsid w:val="00597946"/>
    <w:rsid w:val="005B6C0C"/>
    <w:rsid w:val="005E55BD"/>
    <w:rsid w:val="00604B91"/>
    <w:rsid w:val="0061361D"/>
    <w:rsid w:val="00613735"/>
    <w:rsid w:val="00614015"/>
    <w:rsid w:val="006153FD"/>
    <w:rsid w:val="00667932"/>
    <w:rsid w:val="0067433F"/>
    <w:rsid w:val="006A3EE6"/>
    <w:rsid w:val="006D3E76"/>
    <w:rsid w:val="006D5D59"/>
    <w:rsid w:val="006F07B1"/>
    <w:rsid w:val="006F7FAA"/>
    <w:rsid w:val="007015B1"/>
    <w:rsid w:val="00721C75"/>
    <w:rsid w:val="00723460"/>
    <w:rsid w:val="007235E8"/>
    <w:rsid w:val="00724006"/>
    <w:rsid w:val="00724823"/>
    <w:rsid w:val="00727C22"/>
    <w:rsid w:val="00730B0A"/>
    <w:rsid w:val="00737E8E"/>
    <w:rsid w:val="007412BE"/>
    <w:rsid w:val="00742860"/>
    <w:rsid w:val="00751E07"/>
    <w:rsid w:val="007605B3"/>
    <w:rsid w:val="007659D3"/>
    <w:rsid w:val="00770D7D"/>
    <w:rsid w:val="0078781A"/>
    <w:rsid w:val="00794AD6"/>
    <w:rsid w:val="007A7FEC"/>
    <w:rsid w:val="007B797A"/>
    <w:rsid w:val="007C3916"/>
    <w:rsid w:val="007C54C1"/>
    <w:rsid w:val="007C5E09"/>
    <w:rsid w:val="007C6123"/>
    <w:rsid w:val="007D5A13"/>
    <w:rsid w:val="007E50BD"/>
    <w:rsid w:val="007F27E8"/>
    <w:rsid w:val="00812475"/>
    <w:rsid w:val="00830554"/>
    <w:rsid w:val="00834036"/>
    <w:rsid w:val="00834272"/>
    <w:rsid w:val="0084340A"/>
    <w:rsid w:val="00846456"/>
    <w:rsid w:val="008464EA"/>
    <w:rsid w:val="00863435"/>
    <w:rsid w:val="008A05D1"/>
    <w:rsid w:val="008A7C68"/>
    <w:rsid w:val="008B146F"/>
    <w:rsid w:val="008E4D99"/>
    <w:rsid w:val="009103CD"/>
    <w:rsid w:val="009369DC"/>
    <w:rsid w:val="00945195"/>
    <w:rsid w:val="00986E68"/>
    <w:rsid w:val="009A6304"/>
    <w:rsid w:val="009B4D31"/>
    <w:rsid w:val="009D68F4"/>
    <w:rsid w:val="009E0177"/>
    <w:rsid w:val="00A114C5"/>
    <w:rsid w:val="00A116F4"/>
    <w:rsid w:val="00A13D26"/>
    <w:rsid w:val="00A23412"/>
    <w:rsid w:val="00A40401"/>
    <w:rsid w:val="00A45687"/>
    <w:rsid w:val="00A601EE"/>
    <w:rsid w:val="00A669CE"/>
    <w:rsid w:val="00A67BC1"/>
    <w:rsid w:val="00AA0ED4"/>
    <w:rsid w:val="00AA4D3E"/>
    <w:rsid w:val="00AC0142"/>
    <w:rsid w:val="00AC1008"/>
    <w:rsid w:val="00AD16BE"/>
    <w:rsid w:val="00AD48A2"/>
    <w:rsid w:val="00AE02C8"/>
    <w:rsid w:val="00AE6BD7"/>
    <w:rsid w:val="00B152C2"/>
    <w:rsid w:val="00B34837"/>
    <w:rsid w:val="00B37DD6"/>
    <w:rsid w:val="00B44C2B"/>
    <w:rsid w:val="00B61207"/>
    <w:rsid w:val="00B65EBE"/>
    <w:rsid w:val="00B815D3"/>
    <w:rsid w:val="00BA2BDF"/>
    <w:rsid w:val="00BB4536"/>
    <w:rsid w:val="00BC06D7"/>
    <w:rsid w:val="00BC7744"/>
    <w:rsid w:val="00BD1CD0"/>
    <w:rsid w:val="00BF0B5A"/>
    <w:rsid w:val="00BF0F7B"/>
    <w:rsid w:val="00BF4821"/>
    <w:rsid w:val="00C06B77"/>
    <w:rsid w:val="00C17DF6"/>
    <w:rsid w:val="00C31D5B"/>
    <w:rsid w:val="00C52BAB"/>
    <w:rsid w:val="00C54E81"/>
    <w:rsid w:val="00C551EE"/>
    <w:rsid w:val="00CA16E2"/>
    <w:rsid w:val="00CB7588"/>
    <w:rsid w:val="00CC2B42"/>
    <w:rsid w:val="00CF5FFA"/>
    <w:rsid w:val="00D17B69"/>
    <w:rsid w:val="00D25907"/>
    <w:rsid w:val="00D27121"/>
    <w:rsid w:val="00D375C4"/>
    <w:rsid w:val="00D37B49"/>
    <w:rsid w:val="00D624B6"/>
    <w:rsid w:val="00D7411B"/>
    <w:rsid w:val="00DA2D26"/>
    <w:rsid w:val="00E20788"/>
    <w:rsid w:val="00E2269E"/>
    <w:rsid w:val="00E46723"/>
    <w:rsid w:val="00E56922"/>
    <w:rsid w:val="00E61702"/>
    <w:rsid w:val="00E66F15"/>
    <w:rsid w:val="00E76009"/>
    <w:rsid w:val="00E801D0"/>
    <w:rsid w:val="00EB5AB3"/>
    <w:rsid w:val="00EC5DFA"/>
    <w:rsid w:val="00EF0721"/>
    <w:rsid w:val="00F10335"/>
    <w:rsid w:val="00F16412"/>
    <w:rsid w:val="00F25FD6"/>
    <w:rsid w:val="00F262C9"/>
    <w:rsid w:val="00F34018"/>
    <w:rsid w:val="00F45701"/>
    <w:rsid w:val="00F7124E"/>
    <w:rsid w:val="00F77CDE"/>
    <w:rsid w:val="00FA3DBC"/>
    <w:rsid w:val="00FA5FD3"/>
    <w:rsid w:val="00FB46FA"/>
    <w:rsid w:val="00FC12A3"/>
    <w:rsid w:val="00FC4636"/>
    <w:rsid w:val="00FD1372"/>
    <w:rsid w:val="00FE4C26"/>
    <w:rsid w:val="00FF62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7CF836"/>
  <w15:docId w15:val="{B49C7F86-5EA4-4AFF-A2F7-F45681B3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2860"/>
    <w:pPr>
      <w:spacing w:after="200" w:line="276" w:lineRule="auto"/>
    </w:pPr>
    <w:rPr>
      <w:sz w:val="22"/>
      <w:szCs w:val="22"/>
    </w:rPr>
  </w:style>
  <w:style w:type="paragraph" w:styleId="Heading1">
    <w:name w:val="heading 1"/>
    <w:basedOn w:val="Normal"/>
    <w:next w:val="Normal"/>
    <w:link w:val="Heading1Char"/>
    <w:uiPriority w:val="9"/>
    <w:qFormat/>
    <w:rsid w:val="00730B0A"/>
    <w:pPr>
      <w:spacing w:after="120"/>
      <w:outlineLvl w:val="0"/>
    </w:pPr>
    <w:rPr>
      <w:b/>
      <w:color w:val="E40059"/>
      <w:sz w:val="28"/>
      <w:szCs w:val="28"/>
    </w:rPr>
  </w:style>
  <w:style w:type="paragraph" w:styleId="Heading2">
    <w:name w:val="heading 2"/>
    <w:basedOn w:val="Heading1"/>
    <w:next w:val="Normal"/>
    <w:link w:val="Heading2Char"/>
    <w:uiPriority w:val="9"/>
    <w:qFormat/>
    <w:rsid w:val="00730B0A"/>
    <w:pPr>
      <w:outlineLvl w:val="1"/>
    </w:pPr>
    <w:rPr>
      <w:color w:val="68007F"/>
      <w:sz w:val="24"/>
      <w:szCs w:val="24"/>
    </w:rPr>
  </w:style>
  <w:style w:type="paragraph" w:styleId="Heading3">
    <w:name w:val="heading 3"/>
    <w:basedOn w:val="Heading2"/>
    <w:next w:val="Normal"/>
    <w:link w:val="Heading3Char"/>
    <w:uiPriority w:val="9"/>
    <w:qFormat/>
    <w:rsid w:val="00727C22"/>
    <w:pPr>
      <w:numPr>
        <w:numId w:val="1"/>
      </w:numPr>
      <w:outlineLvl w:val="2"/>
    </w:pPr>
    <w:rPr>
      <w:color w:val="E400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E7A"/>
  </w:style>
  <w:style w:type="paragraph" w:styleId="Footer">
    <w:name w:val="footer"/>
    <w:basedOn w:val="Normal"/>
    <w:link w:val="FooterChar"/>
    <w:uiPriority w:val="99"/>
    <w:unhideWhenUsed/>
    <w:rsid w:val="00357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E7A"/>
  </w:style>
  <w:style w:type="paragraph" w:styleId="BalloonText">
    <w:name w:val="Balloon Text"/>
    <w:basedOn w:val="Normal"/>
    <w:link w:val="BalloonTextChar"/>
    <w:uiPriority w:val="99"/>
    <w:semiHidden/>
    <w:unhideWhenUsed/>
    <w:rsid w:val="00357E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7E7A"/>
    <w:rPr>
      <w:rFonts w:ascii="Tahoma" w:hAnsi="Tahoma" w:cs="Tahoma"/>
      <w:sz w:val="16"/>
      <w:szCs w:val="16"/>
    </w:rPr>
  </w:style>
  <w:style w:type="table" w:styleId="TableGrid">
    <w:name w:val="Table Grid"/>
    <w:basedOn w:val="TableNormal"/>
    <w:uiPriority w:val="59"/>
    <w:rsid w:val="00357E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730B0A"/>
    <w:rPr>
      <w:b/>
      <w:color w:val="E40059"/>
      <w:sz w:val="28"/>
      <w:szCs w:val="28"/>
    </w:rPr>
  </w:style>
  <w:style w:type="character" w:customStyle="1" w:styleId="Heading2Char">
    <w:name w:val="Heading 2 Char"/>
    <w:link w:val="Heading2"/>
    <w:uiPriority w:val="9"/>
    <w:rsid w:val="00730B0A"/>
    <w:rPr>
      <w:b/>
      <w:color w:val="68007F"/>
      <w:sz w:val="24"/>
      <w:szCs w:val="24"/>
    </w:rPr>
  </w:style>
  <w:style w:type="paragraph" w:customStyle="1" w:styleId="ColorfulList-Accent11">
    <w:name w:val="Colorful List - Accent 11"/>
    <w:basedOn w:val="Normal"/>
    <w:uiPriority w:val="34"/>
    <w:qFormat/>
    <w:rsid w:val="00730B0A"/>
    <w:pPr>
      <w:ind w:left="720"/>
      <w:contextualSpacing/>
    </w:pPr>
  </w:style>
  <w:style w:type="character" w:customStyle="1" w:styleId="Heading3Char">
    <w:name w:val="Heading 3 Char"/>
    <w:link w:val="Heading3"/>
    <w:uiPriority w:val="9"/>
    <w:rsid w:val="00727C22"/>
    <w:rPr>
      <w:b/>
      <w:color w:val="E40059"/>
      <w:sz w:val="24"/>
      <w:szCs w:val="24"/>
      <w:lang w:eastAsia="en-GB"/>
    </w:rPr>
  </w:style>
  <w:style w:type="paragraph" w:customStyle="1" w:styleId="NoSpacing1">
    <w:name w:val="No Spacing1"/>
    <w:uiPriority w:val="1"/>
    <w:qFormat/>
    <w:rsid w:val="00AD48A2"/>
    <w:rPr>
      <w:sz w:val="22"/>
      <w:szCs w:val="22"/>
    </w:rPr>
  </w:style>
  <w:style w:type="paragraph" w:styleId="FootnoteText">
    <w:name w:val="footnote text"/>
    <w:basedOn w:val="Normal"/>
    <w:link w:val="FootnoteTextChar"/>
    <w:uiPriority w:val="99"/>
    <w:semiHidden/>
    <w:unhideWhenUsed/>
    <w:rsid w:val="00C17DF6"/>
    <w:rPr>
      <w:sz w:val="24"/>
      <w:szCs w:val="24"/>
    </w:rPr>
  </w:style>
  <w:style w:type="character" w:customStyle="1" w:styleId="FootnoteTextChar">
    <w:name w:val="Footnote Text Char"/>
    <w:link w:val="FootnoteText"/>
    <w:uiPriority w:val="99"/>
    <w:semiHidden/>
    <w:rsid w:val="00C17DF6"/>
    <w:rPr>
      <w:sz w:val="24"/>
      <w:szCs w:val="24"/>
      <w:lang w:eastAsia="en-GB"/>
    </w:rPr>
  </w:style>
  <w:style w:type="character" w:styleId="Hyperlink">
    <w:name w:val="Hyperlink"/>
    <w:rsid w:val="00C17DF6"/>
    <w:rPr>
      <w:color w:val="0000FF"/>
      <w:u w:val="single"/>
    </w:rPr>
  </w:style>
  <w:style w:type="character" w:styleId="FootnoteReference">
    <w:name w:val="footnote reference"/>
    <w:semiHidden/>
    <w:rsid w:val="00C17DF6"/>
    <w:rPr>
      <w:vertAlign w:val="superscript"/>
    </w:rPr>
  </w:style>
  <w:style w:type="character" w:customStyle="1" w:styleId="A2">
    <w:name w:val="A2"/>
    <w:uiPriority w:val="99"/>
    <w:rsid w:val="00102D98"/>
    <w:rPr>
      <w:rFonts w:cs="Frutiger 55 Roman"/>
      <w:color w:val="000000"/>
      <w:sz w:val="18"/>
      <w:szCs w:val="18"/>
    </w:rPr>
  </w:style>
  <w:style w:type="paragraph" w:customStyle="1" w:styleId="Pa0">
    <w:name w:val="Pa0"/>
    <w:basedOn w:val="Normal"/>
    <w:next w:val="Normal"/>
    <w:uiPriority w:val="99"/>
    <w:rsid w:val="001F3AFF"/>
    <w:pPr>
      <w:widowControl w:val="0"/>
      <w:autoSpaceDE w:val="0"/>
      <w:autoSpaceDN w:val="0"/>
      <w:adjustRightInd w:val="0"/>
      <w:spacing w:after="0" w:line="241" w:lineRule="atLeast"/>
    </w:pPr>
    <w:rPr>
      <w:rFonts w:ascii="Frutiger 55 Roman" w:hAnsi="Frutiger 55 Roman"/>
      <w:sz w:val="24"/>
      <w:szCs w:val="24"/>
      <w:lang w:val="en-US" w:eastAsia="en-US"/>
    </w:rPr>
  </w:style>
  <w:style w:type="paragraph" w:styleId="ListParagraph">
    <w:name w:val="List Paragraph"/>
    <w:basedOn w:val="Normal"/>
    <w:uiPriority w:val="72"/>
    <w:qFormat/>
    <w:rsid w:val="0004651C"/>
    <w:pPr>
      <w:ind w:left="720"/>
      <w:contextualSpacing/>
    </w:pPr>
  </w:style>
  <w:style w:type="character" w:styleId="CommentReference">
    <w:name w:val="annotation reference"/>
    <w:basedOn w:val="DefaultParagraphFont"/>
    <w:uiPriority w:val="99"/>
    <w:semiHidden/>
    <w:unhideWhenUsed/>
    <w:rsid w:val="00594347"/>
    <w:rPr>
      <w:sz w:val="16"/>
      <w:szCs w:val="16"/>
    </w:rPr>
  </w:style>
  <w:style w:type="paragraph" w:styleId="CommentText">
    <w:name w:val="annotation text"/>
    <w:basedOn w:val="Normal"/>
    <w:link w:val="CommentTextChar"/>
    <w:uiPriority w:val="99"/>
    <w:semiHidden/>
    <w:unhideWhenUsed/>
    <w:rsid w:val="00594347"/>
    <w:pPr>
      <w:spacing w:line="240" w:lineRule="auto"/>
    </w:pPr>
    <w:rPr>
      <w:sz w:val="20"/>
      <w:szCs w:val="20"/>
    </w:rPr>
  </w:style>
  <w:style w:type="character" w:customStyle="1" w:styleId="CommentTextChar">
    <w:name w:val="Comment Text Char"/>
    <w:basedOn w:val="DefaultParagraphFont"/>
    <w:link w:val="CommentText"/>
    <w:uiPriority w:val="99"/>
    <w:semiHidden/>
    <w:rsid w:val="00594347"/>
  </w:style>
  <w:style w:type="paragraph" w:styleId="CommentSubject">
    <w:name w:val="annotation subject"/>
    <w:basedOn w:val="CommentText"/>
    <w:next w:val="CommentText"/>
    <w:link w:val="CommentSubjectChar"/>
    <w:uiPriority w:val="99"/>
    <w:semiHidden/>
    <w:unhideWhenUsed/>
    <w:rsid w:val="00594347"/>
    <w:rPr>
      <w:b/>
      <w:bCs/>
    </w:rPr>
  </w:style>
  <w:style w:type="character" w:customStyle="1" w:styleId="CommentSubjectChar">
    <w:name w:val="Comment Subject Char"/>
    <w:basedOn w:val="CommentTextChar"/>
    <w:link w:val="CommentSubject"/>
    <w:uiPriority w:val="99"/>
    <w:semiHidden/>
    <w:rsid w:val="00594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harmacyregulation.org/sites/default/files/Guidance%20on%20Confidentiality_April%20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harms.com/promoting-pharmacy-pdfs/electronic-health-records-guidance-dec201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stems.hscic.gov.uk/rasmartcards/strategy/nhscrg" TargetMode="External"/><Relationship Id="rId5" Type="http://schemas.openxmlformats.org/officeDocument/2006/relationships/webSettings" Target="webSettings.xml"/><Relationship Id="rId15" Type="http://schemas.openxmlformats.org/officeDocument/2006/relationships/hyperlink" Target="http://systems.hscic.gov.uk/sc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CFBB00.C2740050" TargetMode="External"/><Relationship Id="rId14" Type="http://schemas.openxmlformats.org/officeDocument/2006/relationships/hyperlink" Target="http://www.pharmacyregulation.org/sites/default/files/GPHC%20Guidance%20on%20cons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4201D-8320-4BFD-AB25-8B8F364A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Links>
    <vt:vector size="6" baseType="variant">
      <vt:variant>
        <vt:i4>8257554</vt:i4>
      </vt:variant>
      <vt:variant>
        <vt:i4>0</vt:i4>
      </vt:variant>
      <vt:variant>
        <vt:i4>0</vt:i4>
      </vt:variant>
      <vt:variant>
        <vt:i4>5</vt:i4>
      </vt:variant>
      <vt:variant>
        <vt:lpwstr>mailto:helen.wragg@nhs.net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cp:keywords/>
  <dc:description/>
  <cp:lastModifiedBy>Chris Howland-Harris</cp:lastModifiedBy>
  <cp:revision>4</cp:revision>
  <cp:lastPrinted>2016-06-15T14:17:00Z</cp:lastPrinted>
  <dcterms:created xsi:type="dcterms:W3CDTF">2016-09-28T08:54:00Z</dcterms:created>
  <dcterms:modified xsi:type="dcterms:W3CDTF">2016-09-28T08:58:00Z</dcterms:modified>
</cp:coreProperties>
</file>