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269" w:rsidRDefault="00960C5A" w:rsidP="00637269">
      <w:pPr>
        <w:pStyle w:val="Heading1"/>
        <w:spacing w:line="240" w:lineRule="auto"/>
        <w:rPr>
          <w:rFonts w:eastAsiaTheme="minorEastAsia"/>
        </w:rPr>
      </w:pPr>
      <w:bookmarkStart w:id="0" w:name="_GoBack"/>
      <w:bookmarkEnd w:id="0"/>
      <w:r>
        <w:rPr>
          <w:rFonts w:eastAsiaTheme="minorEastAsia"/>
        </w:rPr>
        <w:t>Community Pharmacy TB DOT Service</w:t>
      </w:r>
    </w:p>
    <w:p w:rsidR="00FD6AF4" w:rsidRDefault="00FD6AF4" w:rsidP="00FD6AF4">
      <w:pPr>
        <w:rPr>
          <w:lang w:val="en-GB" w:eastAsia="en-US"/>
        </w:rPr>
      </w:pPr>
    </w:p>
    <w:p w:rsidR="00FD6AF4" w:rsidRPr="00FD6AF4" w:rsidRDefault="00FD6AF4" w:rsidP="00FD6AF4">
      <w:pPr>
        <w:jc w:val="center"/>
        <w:rPr>
          <w:rFonts w:ascii="Arial" w:hAnsi="Arial" w:cs="Arial"/>
          <w:b/>
          <w:lang w:val="en-GB" w:eastAsia="en-US"/>
        </w:rPr>
      </w:pPr>
      <w:r w:rsidRPr="00FD6AF4">
        <w:rPr>
          <w:rFonts w:ascii="Arial" w:hAnsi="Arial" w:cs="Arial"/>
          <w:b/>
          <w:lang w:val="en-GB" w:eastAsia="en-US"/>
        </w:rPr>
        <w:t>Service Specification</w:t>
      </w:r>
    </w:p>
    <w:p w:rsidR="00637269" w:rsidRDefault="00637269" w:rsidP="00637269">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70"/>
        <w:gridCol w:w="5444"/>
      </w:tblGrid>
      <w:tr w:rsidR="00637269" w:rsidTr="00637269">
        <w:tc>
          <w:tcPr>
            <w:tcW w:w="2970"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360" w:lineRule="auto"/>
              <w:rPr>
                <w:rFonts w:ascii="Arial" w:hAnsi="Arial" w:cs="Arial"/>
                <w:b/>
              </w:rPr>
            </w:pPr>
            <w:r>
              <w:rPr>
                <w:rFonts w:ascii="Arial" w:hAnsi="Arial" w:cs="Arial"/>
                <w:b/>
              </w:rPr>
              <w:t>Service Specification No.</w:t>
            </w:r>
          </w:p>
        </w:tc>
        <w:tc>
          <w:tcPr>
            <w:tcW w:w="5444" w:type="dxa"/>
            <w:tcBorders>
              <w:top w:val="single" w:sz="4" w:space="0" w:color="auto"/>
              <w:left w:val="single" w:sz="4" w:space="0" w:color="auto"/>
              <w:bottom w:val="single" w:sz="4" w:space="0" w:color="auto"/>
              <w:right w:val="single" w:sz="4" w:space="0" w:color="auto"/>
            </w:tcBorders>
          </w:tcPr>
          <w:p w:rsidR="00637269" w:rsidRDefault="00960C5A">
            <w:pPr>
              <w:spacing w:after="0"/>
              <w:rPr>
                <w:rFonts w:ascii="Arial" w:hAnsi="Arial" w:cs="Arial"/>
                <w:sz w:val="20"/>
              </w:rPr>
            </w:pPr>
            <w:r>
              <w:rPr>
                <w:rFonts w:ascii="Arial" w:hAnsi="Arial" w:cs="Arial"/>
                <w:sz w:val="20"/>
              </w:rPr>
              <w:t xml:space="preserve">Aiv </w:t>
            </w:r>
          </w:p>
        </w:tc>
      </w:tr>
      <w:tr w:rsidR="00637269" w:rsidTr="00637269">
        <w:tc>
          <w:tcPr>
            <w:tcW w:w="2970"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360" w:lineRule="auto"/>
              <w:rPr>
                <w:rFonts w:ascii="Arial" w:hAnsi="Arial" w:cs="Arial"/>
                <w:b/>
              </w:rPr>
            </w:pPr>
            <w:r>
              <w:rPr>
                <w:rFonts w:ascii="Arial" w:hAnsi="Arial" w:cs="Arial"/>
                <w:b/>
              </w:rPr>
              <w:t>Service</w:t>
            </w:r>
          </w:p>
        </w:tc>
        <w:tc>
          <w:tcPr>
            <w:tcW w:w="5444" w:type="dxa"/>
            <w:tcBorders>
              <w:top w:val="single" w:sz="4" w:space="0" w:color="auto"/>
              <w:left w:val="single" w:sz="4" w:space="0" w:color="auto"/>
              <w:bottom w:val="single" w:sz="4" w:space="0" w:color="auto"/>
              <w:right w:val="single" w:sz="4" w:space="0" w:color="auto"/>
            </w:tcBorders>
          </w:tcPr>
          <w:p w:rsidR="00637269" w:rsidRPr="00771EB3" w:rsidRDefault="00F5050C" w:rsidP="00400A26">
            <w:pPr>
              <w:spacing w:after="0"/>
              <w:rPr>
                <w:rFonts w:ascii="Arial" w:hAnsi="Arial" w:cs="Arial"/>
                <w:sz w:val="20"/>
              </w:rPr>
            </w:pPr>
            <w:r>
              <w:rPr>
                <w:rFonts w:ascii="Arial" w:hAnsi="Arial" w:cs="Arial"/>
                <w:sz w:val="20"/>
              </w:rPr>
              <w:t xml:space="preserve">Community Pharmacy </w:t>
            </w:r>
            <w:r w:rsidR="00400A26">
              <w:rPr>
                <w:rFonts w:ascii="Arial" w:hAnsi="Arial" w:cs="Arial"/>
                <w:sz w:val="20"/>
              </w:rPr>
              <w:t>Directly Observed Therapy Service for Tuberculosis Treatment in Community Pharmacy (TB DOT Service)</w:t>
            </w:r>
          </w:p>
        </w:tc>
      </w:tr>
      <w:tr w:rsidR="00637269" w:rsidTr="00637269">
        <w:tc>
          <w:tcPr>
            <w:tcW w:w="2970"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360" w:lineRule="auto"/>
              <w:rPr>
                <w:rFonts w:ascii="Arial" w:hAnsi="Arial" w:cs="Arial"/>
                <w:b/>
              </w:rPr>
            </w:pPr>
            <w:r>
              <w:rPr>
                <w:rFonts w:ascii="Arial" w:hAnsi="Arial" w:cs="Arial"/>
                <w:b/>
              </w:rPr>
              <w:t>Commissioner Lead</w:t>
            </w:r>
          </w:p>
        </w:tc>
        <w:tc>
          <w:tcPr>
            <w:tcW w:w="5444" w:type="dxa"/>
            <w:tcBorders>
              <w:top w:val="single" w:sz="4" w:space="0" w:color="auto"/>
              <w:left w:val="single" w:sz="4" w:space="0" w:color="auto"/>
              <w:bottom w:val="single" w:sz="4" w:space="0" w:color="auto"/>
              <w:right w:val="single" w:sz="4" w:space="0" w:color="auto"/>
            </w:tcBorders>
          </w:tcPr>
          <w:p w:rsidR="00637269" w:rsidRPr="00771EB3" w:rsidRDefault="00771EB3">
            <w:pPr>
              <w:spacing w:after="0"/>
              <w:rPr>
                <w:rFonts w:ascii="Arial" w:hAnsi="Arial" w:cs="Arial"/>
                <w:sz w:val="20"/>
              </w:rPr>
            </w:pPr>
            <w:r w:rsidRPr="00771EB3">
              <w:rPr>
                <w:rFonts w:ascii="Arial" w:hAnsi="Arial" w:cs="Arial"/>
                <w:sz w:val="20"/>
              </w:rPr>
              <w:t>Helen Wilkinson</w:t>
            </w:r>
          </w:p>
          <w:p w:rsidR="00771EB3" w:rsidRPr="00771EB3" w:rsidRDefault="00771EB3">
            <w:pPr>
              <w:spacing w:after="0"/>
              <w:rPr>
                <w:rFonts w:ascii="Arial" w:hAnsi="Arial" w:cs="Arial"/>
                <w:sz w:val="20"/>
              </w:rPr>
            </w:pPr>
            <w:r w:rsidRPr="00771EB3">
              <w:rPr>
                <w:rFonts w:ascii="Arial" w:hAnsi="Arial" w:cs="Arial"/>
                <w:sz w:val="20"/>
              </w:rPr>
              <w:t>Principal Medicines Optimisation Pharmacist</w:t>
            </w:r>
          </w:p>
          <w:p w:rsidR="00771EB3" w:rsidRDefault="00771EB3">
            <w:pPr>
              <w:spacing w:after="0"/>
              <w:rPr>
                <w:rFonts w:ascii="Arial" w:hAnsi="Arial" w:cs="Arial"/>
                <w:sz w:val="20"/>
              </w:rPr>
            </w:pPr>
            <w:r w:rsidRPr="00771EB3">
              <w:rPr>
                <w:rFonts w:ascii="Arial" w:hAnsi="Arial" w:cs="Arial"/>
                <w:sz w:val="20"/>
              </w:rPr>
              <w:t>Bristol, North Somerset &amp; South Gloucestershire Clinical Commissioning Group</w:t>
            </w:r>
          </w:p>
          <w:p w:rsidR="00E50C73" w:rsidRPr="00771EB3" w:rsidRDefault="0019559A">
            <w:pPr>
              <w:spacing w:after="0"/>
              <w:rPr>
                <w:rFonts w:ascii="Arial" w:hAnsi="Arial" w:cs="Arial"/>
                <w:sz w:val="20"/>
              </w:rPr>
            </w:pPr>
            <w:hyperlink r:id="rId7" w:history="1">
              <w:r w:rsidR="00960C5A" w:rsidRPr="009513EF">
                <w:rPr>
                  <w:rStyle w:val="Hyperlink"/>
                  <w:rFonts w:ascii="Arial" w:hAnsi="Arial" w:cs="Arial"/>
                  <w:sz w:val="20"/>
                </w:rPr>
                <w:t>hwilkinson1@nhs.net</w:t>
              </w:r>
            </w:hyperlink>
            <w:r w:rsidR="00960C5A">
              <w:rPr>
                <w:rFonts w:ascii="Arial" w:hAnsi="Arial" w:cs="Arial"/>
                <w:sz w:val="20"/>
              </w:rPr>
              <w:t xml:space="preserve"> </w:t>
            </w:r>
            <w:r w:rsidR="00E50C73">
              <w:rPr>
                <w:rFonts w:ascii="Arial" w:hAnsi="Arial" w:cs="Arial"/>
                <w:sz w:val="20"/>
              </w:rPr>
              <w:t xml:space="preserve"> </w:t>
            </w:r>
            <w:r w:rsidR="00960C5A">
              <w:rPr>
                <w:rFonts w:ascii="Arial" w:hAnsi="Arial" w:cs="Arial"/>
                <w:sz w:val="20"/>
              </w:rPr>
              <w:t xml:space="preserve">/ </w:t>
            </w:r>
            <w:hyperlink r:id="rId8" w:history="1">
              <w:r w:rsidR="00960C5A" w:rsidRPr="009513EF">
                <w:rPr>
                  <w:rStyle w:val="Hyperlink"/>
                  <w:rFonts w:ascii="Arial" w:hAnsi="Arial" w:cs="Arial"/>
                  <w:sz w:val="20"/>
                </w:rPr>
                <w:t>bnssg.pc.contracts@nhs.net</w:t>
              </w:r>
            </w:hyperlink>
            <w:r w:rsidR="00960C5A">
              <w:rPr>
                <w:rFonts w:ascii="Arial" w:hAnsi="Arial" w:cs="Arial"/>
                <w:sz w:val="20"/>
              </w:rPr>
              <w:t xml:space="preserve"> </w:t>
            </w:r>
          </w:p>
        </w:tc>
      </w:tr>
      <w:tr w:rsidR="00637269" w:rsidTr="00637269">
        <w:tc>
          <w:tcPr>
            <w:tcW w:w="2970"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360" w:lineRule="auto"/>
              <w:rPr>
                <w:rFonts w:ascii="Arial" w:hAnsi="Arial" w:cs="Arial"/>
                <w:b/>
              </w:rPr>
            </w:pPr>
            <w:r>
              <w:rPr>
                <w:rFonts w:ascii="Arial" w:hAnsi="Arial" w:cs="Arial"/>
                <w:b/>
              </w:rPr>
              <w:t>Provider Lead</w:t>
            </w:r>
          </w:p>
        </w:tc>
        <w:tc>
          <w:tcPr>
            <w:tcW w:w="5444" w:type="dxa"/>
            <w:tcBorders>
              <w:top w:val="single" w:sz="4" w:space="0" w:color="auto"/>
              <w:left w:val="single" w:sz="4" w:space="0" w:color="auto"/>
              <w:bottom w:val="single" w:sz="4" w:space="0" w:color="auto"/>
              <w:right w:val="single" w:sz="4" w:space="0" w:color="auto"/>
            </w:tcBorders>
          </w:tcPr>
          <w:p w:rsidR="00637269" w:rsidRDefault="00F5050C">
            <w:pPr>
              <w:spacing w:after="0"/>
              <w:rPr>
                <w:rFonts w:ascii="Arial" w:hAnsi="Arial" w:cs="Arial"/>
                <w:sz w:val="20"/>
              </w:rPr>
            </w:pPr>
            <w:r>
              <w:rPr>
                <w:rFonts w:ascii="Arial" w:hAnsi="Arial" w:cs="Arial"/>
                <w:sz w:val="20"/>
              </w:rPr>
              <w:t>Community Pharmacy</w:t>
            </w:r>
          </w:p>
          <w:p w:rsidR="00D74038" w:rsidRPr="00771EB3" w:rsidRDefault="00D74038">
            <w:pPr>
              <w:spacing w:after="0"/>
              <w:rPr>
                <w:rFonts w:ascii="Arial" w:hAnsi="Arial" w:cs="Arial"/>
                <w:sz w:val="20"/>
              </w:rPr>
            </w:pPr>
          </w:p>
        </w:tc>
      </w:tr>
      <w:tr w:rsidR="00637269" w:rsidTr="00637269">
        <w:tc>
          <w:tcPr>
            <w:tcW w:w="2970"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360" w:lineRule="auto"/>
              <w:rPr>
                <w:rFonts w:ascii="Arial" w:hAnsi="Arial" w:cs="Arial"/>
                <w:b/>
              </w:rPr>
            </w:pPr>
            <w:r>
              <w:rPr>
                <w:rFonts w:ascii="Arial" w:hAnsi="Arial" w:cs="Arial"/>
                <w:b/>
              </w:rPr>
              <w:t>Period</w:t>
            </w:r>
          </w:p>
        </w:tc>
        <w:tc>
          <w:tcPr>
            <w:tcW w:w="5444" w:type="dxa"/>
            <w:tcBorders>
              <w:top w:val="single" w:sz="4" w:space="0" w:color="auto"/>
              <w:left w:val="single" w:sz="4" w:space="0" w:color="auto"/>
              <w:bottom w:val="single" w:sz="4" w:space="0" w:color="auto"/>
              <w:right w:val="single" w:sz="4" w:space="0" w:color="auto"/>
            </w:tcBorders>
          </w:tcPr>
          <w:p w:rsidR="00637269" w:rsidRPr="00771EB3" w:rsidRDefault="00771EB3" w:rsidP="00400A26">
            <w:pPr>
              <w:spacing w:after="0"/>
              <w:rPr>
                <w:rFonts w:ascii="Arial" w:hAnsi="Arial" w:cs="Arial"/>
                <w:sz w:val="20"/>
              </w:rPr>
            </w:pPr>
            <w:r w:rsidRPr="00771EB3">
              <w:rPr>
                <w:rFonts w:ascii="Arial" w:hAnsi="Arial" w:cs="Arial"/>
                <w:sz w:val="20"/>
              </w:rPr>
              <w:t>1</w:t>
            </w:r>
            <w:r w:rsidRPr="00771EB3">
              <w:rPr>
                <w:rFonts w:ascii="Arial" w:hAnsi="Arial" w:cs="Arial"/>
                <w:sz w:val="20"/>
                <w:vertAlign w:val="superscript"/>
              </w:rPr>
              <w:t>st</w:t>
            </w:r>
            <w:r w:rsidR="00960C5A">
              <w:rPr>
                <w:rFonts w:ascii="Arial" w:hAnsi="Arial" w:cs="Arial"/>
                <w:sz w:val="20"/>
              </w:rPr>
              <w:t xml:space="preserve"> April 2021</w:t>
            </w:r>
            <w:r w:rsidRPr="00771EB3">
              <w:rPr>
                <w:rFonts w:ascii="Arial" w:hAnsi="Arial" w:cs="Arial"/>
                <w:sz w:val="20"/>
              </w:rPr>
              <w:t xml:space="preserve"> – 31</w:t>
            </w:r>
            <w:r w:rsidRPr="00771EB3">
              <w:rPr>
                <w:rFonts w:ascii="Arial" w:hAnsi="Arial" w:cs="Arial"/>
                <w:sz w:val="20"/>
                <w:vertAlign w:val="superscript"/>
              </w:rPr>
              <w:t>st</w:t>
            </w:r>
            <w:r w:rsidRPr="00771EB3">
              <w:rPr>
                <w:rFonts w:ascii="Arial" w:hAnsi="Arial" w:cs="Arial"/>
                <w:sz w:val="20"/>
              </w:rPr>
              <w:t xml:space="preserve"> March </w:t>
            </w:r>
            <w:r w:rsidR="00F5050C" w:rsidRPr="00F5050C">
              <w:rPr>
                <w:rFonts w:ascii="Arial" w:hAnsi="Arial" w:cs="Arial"/>
                <w:sz w:val="20"/>
              </w:rPr>
              <w:t>20</w:t>
            </w:r>
            <w:r w:rsidR="00960C5A">
              <w:rPr>
                <w:rFonts w:ascii="Arial" w:hAnsi="Arial" w:cs="Arial"/>
                <w:sz w:val="20"/>
              </w:rPr>
              <w:t>23</w:t>
            </w:r>
          </w:p>
        </w:tc>
      </w:tr>
      <w:tr w:rsidR="00637269" w:rsidTr="00637269">
        <w:tc>
          <w:tcPr>
            <w:tcW w:w="2970"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360" w:lineRule="auto"/>
              <w:rPr>
                <w:rFonts w:ascii="Arial" w:hAnsi="Arial" w:cs="Arial"/>
                <w:b/>
              </w:rPr>
            </w:pPr>
            <w:r>
              <w:rPr>
                <w:rFonts w:ascii="Arial" w:hAnsi="Arial" w:cs="Arial"/>
                <w:b/>
              </w:rPr>
              <w:t>Date of Review</w:t>
            </w:r>
          </w:p>
        </w:tc>
        <w:tc>
          <w:tcPr>
            <w:tcW w:w="5444" w:type="dxa"/>
            <w:tcBorders>
              <w:top w:val="single" w:sz="4" w:space="0" w:color="auto"/>
              <w:left w:val="single" w:sz="4" w:space="0" w:color="auto"/>
              <w:bottom w:val="single" w:sz="4" w:space="0" w:color="auto"/>
              <w:right w:val="single" w:sz="4" w:space="0" w:color="auto"/>
            </w:tcBorders>
          </w:tcPr>
          <w:p w:rsidR="00637269" w:rsidRDefault="00960C5A">
            <w:pPr>
              <w:spacing w:after="0"/>
              <w:rPr>
                <w:rFonts w:ascii="Arial" w:hAnsi="Arial" w:cs="Arial"/>
                <w:sz w:val="20"/>
              </w:rPr>
            </w:pPr>
            <w:r>
              <w:rPr>
                <w:rFonts w:ascii="Arial" w:hAnsi="Arial" w:cs="Arial"/>
                <w:sz w:val="20"/>
              </w:rPr>
              <w:t>March 2023</w:t>
            </w:r>
          </w:p>
        </w:tc>
      </w:tr>
    </w:tbl>
    <w:p w:rsidR="00637269" w:rsidRDefault="00637269" w:rsidP="00637269">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9134"/>
      </w:tblGrid>
      <w:tr w:rsidR="00637269" w:rsidTr="00637269">
        <w:tc>
          <w:tcPr>
            <w:tcW w:w="8414"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rPr>
            </w:pPr>
            <w:r>
              <w:rPr>
                <w:rFonts w:ascii="Arial" w:hAnsi="Arial" w:cs="Arial"/>
                <w:b/>
              </w:rPr>
              <w:t>1.</w:t>
            </w:r>
            <w:r>
              <w:rPr>
                <w:rFonts w:ascii="Arial" w:hAnsi="Arial" w:cs="Arial"/>
                <w:b/>
              </w:rPr>
              <w:tab/>
              <w:t>Population Needs</w:t>
            </w:r>
          </w:p>
        </w:tc>
      </w:tr>
      <w:tr w:rsidR="00637269" w:rsidTr="00637269">
        <w:tc>
          <w:tcPr>
            <w:tcW w:w="8414" w:type="dxa"/>
            <w:tcBorders>
              <w:top w:val="single" w:sz="4" w:space="0" w:color="auto"/>
              <w:left w:val="single" w:sz="4" w:space="0" w:color="auto"/>
              <w:bottom w:val="single" w:sz="4" w:space="0" w:color="auto"/>
              <w:right w:val="single" w:sz="4" w:space="0" w:color="auto"/>
            </w:tcBorders>
          </w:tcPr>
          <w:p w:rsidR="00637269" w:rsidRDefault="00637269">
            <w:pPr>
              <w:spacing w:after="0"/>
              <w:ind w:left="360"/>
              <w:rPr>
                <w:rFonts w:ascii="Arial" w:hAnsi="Arial" w:cs="Arial"/>
                <w:sz w:val="20"/>
              </w:rPr>
            </w:pPr>
          </w:p>
          <w:p w:rsidR="00637269" w:rsidRDefault="00637269" w:rsidP="00983AAC">
            <w:pPr>
              <w:numPr>
                <w:ilvl w:val="1"/>
                <w:numId w:val="2"/>
              </w:numPr>
              <w:spacing w:after="0"/>
              <w:rPr>
                <w:rFonts w:ascii="Arial" w:hAnsi="Arial" w:cs="Arial"/>
                <w:b/>
                <w:sz w:val="20"/>
              </w:rPr>
            </w:pPr>
            <w:r>
              <w:rPr>
                <w:rFonts w:ascii="Arial" w:hAnsi="Arial" w:cs="Arial"/>
                <w:b/>
                <w:sz w:val="20"/>
              </w:rPr>
              <w:tab/>
              <w:t>National/local context and evidence base</w:t>
            </w:r>
          </w:p>
          <w:p w:rsidR="00771EB3" w:rsidRPr="00771EB3" w:rsidRDefault="00771EB3" w:rsidP="001C3BF0">
            <w:pPr>
              <w:spacing w:after="0"/>
              <w:rPr>
                <w:rFonts w:ascii="Arial" w:hAnsi="Arial" w:cs="Arial"/>
                <w:b/>
                <w:sz w:val="22"/>
                <w:szCs w:val="22"/>
              </w:rPr>
            </w:pPr>
          </w:p>
          <w:p w:rsidR="00637269" w:rsidRDefault="00F447B4" w:rsidP="001C3BF0">
            <w:pPr>
              <w:pStyle w:val="NoSpacing"/>
              <w:ind w:left="720"/>
              <w:rPr>
                <w:rFonts w:ascii="Arial" w:hAnsi="Arial" w:cs="Arial"/>
                <w:sz w:val="20"/>
                <w:szCs w:val="22"/>
                <w:lang w:eastAsia="en-GB"/>
              </w:rPr>
            </w:pPr>
            <w:r>
              <w:rPr>
                <w:rFonts w:ascii="Arial" w:hAnsi="Arial" w:cs="Arial"/>
                <w:sz w:val="20"/>
                <w:szCs w:val="22"/>
                <w:lang w:eastAsia="en-GB"/>
              </w:rPr>
              <w:t>Population Needs</w:t>
            </w:r>
          </w:p>
          <w:p w:rsidR="00F447B4" w:rsidRDefault="00F447B4" w:rsidP="001C3BF0">
            <w:pPr>
              <w:pStyle w:val="NoSpacing"/>
              <w:ind w:left="720"/>
              <w:rPr>
                <w:rFonts w:ascii="Arial" w:hAnsi="Arial" w:cs="Arial"/>
                <w:sz w:val="20"/>
                <w:szCs w:val="22"/>
                <w:lang w:eastAsia="en-GB"/>
              </w:rPr>
            </w:pPr>
          </w:p>
          <w:p w:rsidR="00F447B4" w:rsidRDefault="00F447B4" w:rsidP="001C3BF0">
            <w:pPr>
              <w:pStyle w:val="NoSpacing"/>
              <w:ind w:left="720"/>
              <w:rPr>
                <w:rFonts w:ascii="Arial" w:hAnsi="Arial" w:cs="Arial"/>
                <w:sz w:val="20"/>
                <w:szCs w:val="22"/>
                <w:lang w:eastAsia="en-GB"/>
              </w:rPr>
            </w:pPr>
            <w:r>
              <w:rPr>
                <w:rFonts w:ascii="Arial" w:hAnsi="Arial" w:cs="Arial"/>
                <w:sz w:val="20"/>
                <w:szCs w:val="22"/>
                <w:lang w:eastAsia="en-GB"/>
              </w:rPr>
              <w:t xml:space="preserve">In England TB has </w:t>
            </w:r>
            <w:r w:rsidRPr="00F447B4">
              <w:rPr>
                <w:rFonts w:ascii="Arial" w:hAnsi="Arial" w:cs="Arial"/>
                <w:sz w:val="20"/>
                <w:szCs w:val="22"/>
                <w:lang w:eastAsia="en-GB"/>
              </w:rPr>
              <w:t>bee</w:t>
            </w:r>
            <w:r>
              <w:rPr>
                <w:rFonts w:ascii="Arial" w:hAnsi="Arial" w:cs="Arial"/>
                <w:sz w:val="20"/>
                <w:szCs w:val="22"/>
                <w:lang w:eastAsia="en-GB"/>
              </w:rPr>
              <w:t xml:space="preserve">n identified as a public health </w:t>
            </w:r>
            <w:r w:rsidRPr="00F447B4">
              <w:rPr>
                <w:rFonts w:ascii="Arial" w:hAnsi="Arial" w:cs="Arial"/>
                <w:sz w:val="20"/>
                <w:szCs w:val="22"/>
                <w:lang w:eastAsia="en-GB"/>
              </w:rPr>
              <w:t>priority due to the heal</w:t>
            </w:r>
            <w:r>
              <w:rPr>
                <w:rFonts w:ascii="Arial" w:hAnsi="Arial" w:cs="Arial"/>
                <w:sz w:val="20"/>
                <w:szCs w:val="22"/>
                <w:lang w:eastAsia="en-GB"/>
              </w:rPr>
              <w:t xml:space="preserve">th, social and economic burden of the </w:t>
            </w:r>
            <w:r w:rsidRPr="00F447B4">
              <w:rPr>
                <w:rFonts w:ascii="Arial" w:hAnsi="Arial" w:cs="Arial"/>
                <w:sz w:val="20"/>
                <w:szCs w:val="22"/>
                <w:lang w:eastAsia="en-GB"/>
              </w:rPr>
              <w:t>d</w:t>
            </w:r>
            <w:r>
              <w:rPr>
                <w:rFonts w:ascii="Arial" w:hAnsi="Arial" w:cs="Arial"/>
                <w:sz w:val="20"/>
                <w:szCs w:val="22"/>
                <w:lang w:eastAsia="en-GB"/>
              </w:rPr>
              <w:t xml:space="preserve">isease. The rates of TB and the risks of delayed diagnosis, drug resistance, and onward transmission are greatest among </w:t>
            </w:r>
            <w:r w:rsidRPr="00F447B4">
              <w:rPr>
                <w:rFonts w:ascii="Arial" w:hAnsi="Arial" w:cs="Arial"/>
                <w:sz w:val="20"/>
                <w:szCs w:val="22"/>
                <w:lang w:eastAsia="en-GB"/>
              </w:rPr>
              <w:t>soc</w:t>
            </w:r>
            <w:r>
              <w:rPr>
                <w:rFonts w:ascii="Arial" w:hAnsi="Arial" w:cs="Arial"/>
                <w:sz w:val="20"/>
                <w:szCs w:val="22"/>
                <w:lang w:eastAsia="en-GB"/>
              </w:rPr>
              <w:t xml:space="preserve">ially marginalised, underserved populations such as illicit </w:t>
            </w:r>
            <w:r w:rsidRPr="00F447B4">
              <w:rPr>
                <w:rFonts w:ascii="Arial" w:hAnsi="Arial" w:cs="Arial"/>
                <w:sz w:val="20"/>
                <w:szCs w:val="22"/>
                <w:lang w:eastAsia="en-GB"/>
              </w:rPr>
              <w:t>drug users and the homeless</w:t>
            </w:r>
            <w:r>
              <w:rPr>
                <w:rFonts w:ascii="Arial" w:hAnsi="Arial" w:cs="Arial"/>
                <w:sz w:val="20"/>
                <w:szCs w:val="22"/>
                <w:lang w:eastAsia="en-GB"/>
              </w:rPr>
              <w:t>.</w:t>
            </w:r>
            <w:r w:rsidRPr="00F447B4">
              <w:rPr>
                <w:rFonts w:ascii="Arial" w:hAnsi="Arial" w:cs="Arial"/>
                <w:sz w:val="20"/>
                <w:szCs w:val="22"/>
                <w:vertAlign w:val="superscript"/>
                <w:lang w:eastAsia="en-GB"/>
              </w:rPr>
              <w:t>1</w:t>
            </w:r>
          </w:p>
          <w:p w:rsidR="00F447B4" w:rsidRDefault="00F447B4" w:rsidP="001C3BF0">
            <w:pPr>
              <w:pStyle w:val="NoSpacing"/>
              <w:ind w:left="720"/>
              <w:rPr>
                <w:rFonts w:ascii="Arial" w:hAnsi="Arial" w:cs="Arial"/>
                <w:sz w:val="20"/>
                <w:szCs w:val="22"/>
                <w:lang w:eastAsia="en-GB"/>
              </w:rPr>
            </w:pPr>
          </w:p>
          <w:p w:rsidR="00F447B4" w:rsidRDefault="00F447B4" w:rsidP="001C3BF0">
            <w:pPr>
              <w:pStyle w:val="NoSpacing"/>
              <w:ind w:left="720"/>
              <w:rPr>
                <w:rFonts w:ascii="Arial" w:hAnsi="Arial" w:cs="Arial"/>
                <w:sz w:val="20"/>
                <w:szCs w:val="22"/>
                <w:lang w:eastAsia="en-GB"/>
              </w:rPr>
            </w:pPr>
            <w:r w:rsidRPr="00F447B4">
              <w:rPr>
                <w:rFonts w:ascii="Arial" w:hAnsi="Arial" w:cs="Arial"/>
                <w:sz w:val="20"/>
                <w:szCs w:val="22"/>
                <w:lang w:eastAsia="en-GB"/>
              </w:rPr>
              <w:t xml:space="preserve">Over </w:t>
            </w:r>
            <w:r>
              <w:rPr>
                <w:rFonts w:ascii="Arial" w:hAnsi="Arial" w:cs="Arial"/>
                <w:sz w:val="20"/>
                <w:szCs w:val="22"/>
                <w:lang w:eastAsia="en-GB"/>
              </w:rPr>
              <w:t xml:space="preserve">a three year period In Bristol, incidence rates of TB are significantly higher than the England average. The rate of TB in Bristol </w:t>
            </w:r>
            <w:r w:rsidRPr="00F447B4">
              <w:rPr>
                <w:rFonts w:ascii="Arial" w:hAnsi="Arial" w:cs="Arial"/>
                <w:sz w:val="20"/>
                <w:szCs w:val="22"/>
                <w:lang w:eastAsia="en-GB"/>
              </w:rPr>
              <w:t>(</w:t>
            </w:r>
            <w:r>
              <w:rPr>
                <w:rFonts w:ascii="Arial" w:hAnsi="Arial" w:cs="Arial"/>
                <w:sz w:val="20"/>
                <w:szCs w:val="22"/>
                <w:lang w:eastAsia="en-GB"/>
              </w:rPr>
              <w:t xml:space="preserve">2014-16) is 18.1 notified cases </w:t>
            </w:r>
            <w:r w:rsidRPr="00F447B4">
              <w:rPr>
                <w:rFonts w:ascii="Arial" w:hAnsi="Arial" w:cs="Arial"/>
                <w:sz w:val="20"/>
                <w:szCs w:val="22"/>
                <w:lang w:eastAsia="en-GB"/>
              </w:rPr>
              <w:t>p</w:t>
            </w:r>
            <w:r>
              <w:rPr>
                <w:rFonts w:ascii="Arial" w:hAnsi="Arial" w:cs="Arial"/>
                <w:sz w:val="20"/>
                <w:szCs w:val="22"/>
                <w:lang w:eastAsia="en-GB"/>
              </w:rPr>
              <w:t xml:space="preserve">er 100,000 population (reducing </w:t>
            </w:r>
            <w:r w:rsidRPr="00F447B4">
              <w:rPr>
                <w:rFonts w:ascii="Arial" w:hAnsi="Arial" w:cs="Arial"/>
                <w:sz w:val="20"/>
                <w:szCs w:val="22"/>
                <w:lang w:eastAsia="en-GB"/>
              </w:rPr>
              <w:t>t</w:t>
            </w:r>
            <w:r>
              <w:rPr>
                <w:rFonts w:ascii="Arial" w:hAnsi="Arial" w:cs="Arial"/>
                <w:sz w:val="20"/>
                <w:szCs w:val="22"/>
                <w:lang w:eastAsia="en-GB"/>
              </w:rPr>
              <w:t xml:space="preserve">o 14.8 in 2016 alone), compared </w:t>
            </w:r>
            <w:r w:rsidRPr="00F447B4">
              <w:rPr>
                <w:rFonts w:ascii="Arial" w:hAnsi="Arial" w:cs="Arial"/>
                <w:sz w:val="20"/>
                <w:szCs w:val="22"/>
                <w:lang w:eastAsia="en-GB"/>
              </w:rPr>
              <w:t>to</w:t>
            </w:r>
            <w:r>
              <w:rPr>
                <w:rFonts w:ascii="Arial" w:hAnsi="Arial" w:cs="Arial"/>
                <w:sz w:val="20"/>
                <w:szCs w:val="22"/>
                <w:lang w:eastAsia="en-GB"/>
              </w:rPr>
              <w:t xml:space="preserve"> 10.9 per 100,000 nationally, and 5.1 per 100,000 South West </w:t>
            </w:r>
            <w:r w:rsidRPr="00F447B4">
              <w:rPr>
                <w:rFonts w:ascii="Arial" w:hAnsi="Arial" w:cs="Arial"/>
                <w:sz w:val="20"/>
                <w:szCs w:val="22"/>
                <w:lang w:eastAsia="en-GB"/>
              </w:rPr>
              <w:t>average.</w:t>
            </w:r>
            <w:r w:rsidRPr="00F447B4">
              <w:rPr>
                <w:rFonts w:ascii="Arial" w:hAnsi="Arial" w:cs="Arial"/>
                <w:sz w:val="20"/>
                <w:szCs w:val="22"/>
                <w:vertAlign w:val="superscript"/>
                <w:lang w:eastAsia="en-GB"/>
              </w:rPr>
              <w:t xml:space="preserve"> 1</w:t>
            </w:r>
          </w:p>
          <w:p w:rsidR="00F447B4" w:rsidRDefault="00F447B4" w:rsidP="001C3BF0">
            <w:pPr>
              <w:pStyle w:val="NoSpacing"/>
              <w:rPr>
                <w:rFonts w:ascii="Arial" w:hAnsi="Arial" w:cs="Arial"/>
                <w:sz w:val="20"/>
                <w:szCs w:val="22"/>
                <w:lang w:eastAsia="en-GB"/>
              </w:rPr>
            </w:pPr>
          </w:p>
          <w:p w:rsidR="00F447B4" w:rsidRDefault="00F447B4" w:rsidP="001C3BF0">
            <w:pPr>
              <w:pStyle w:val="NoSpacing"/>
              <w:ind w:left="720"/>
              <w:rPr>
                <w:rFonts w:ascii="Arial" w:hAnsi="Arial" w:cs="Arial"/>
                <w:sz w:val="20"/>
                <w:szCs w:val="22"/>
                <w:lang w:eastAsia="en-GB"/>
              </w:rPr>
            </w:pPr>
            <w:r>
              <w:rPr>
                <w:rFonts w:ascii="Arial" w:hAnsi="Arial" w:cs="Arial"/>
                <w:sz w:val="20"/>
                <w:szCs w:val="22"/>
                <w:lang w:eastAsia="en-GB"/>
              </w:rPr>
              <w:t>If untreated, a person with infectious (active) pulmonary TB infects on average 10-15 people every year. Expert opinion suggests that the average number of contacts for each case of TB  is seven, although this will be influenced by level of perceived risk in the community from each case (for example in the management of incidents or outbreaks).</w:t>
            </w:r>
          </w:p>
          <w:p w:rsidR="00F447B4" w:rsidRPr="00A8778D" w:rsidRDefault="00F447B4" w:rsidP="001C3BF0">
            <w:pPr>
              <w:pStyle w:val="NoSpacing"/>
              <w:rPr>
                <w:rFonts w:ascii="Arial" w:hAnsi="Arial" w:cs="Arial"/>
                <w:sz w:val="20"/>
                <w:szCs w:val="22"/>
                <w:lang w:eastAsia="en-GB"/>
              </w:rPr>
            </w:pPr>
          </w:p>
          <w:p w:rsidR="00371A40" w:rsidRPr="003B6EFA" w:rsidRDefault="00F447B4" w:rsidP="003B6EFA">
            <w:pPr>
              <w:pStyle w:val="NoSpacing"/>
              <w:ind w:left="720"/>
              <w:rPr>
                <w:rFonts w:ascii="Arial" w:hAnsi="Arial" w:cs="Arial"/>
                <w:sz w:val="20"/>
                <w:szCs w:val="22"/>
                <w:lang w:eastAsia="en-GB"/>
              </w:rPr>
            </w:pPr>
            <w:r w:rsidRPr="00A8778D">
              <w:rPr>
                <w:rFonts w:ascii="Arial" w:hAnsi="Arial" w:cs="Arial"/>
                <w:sz w:val="20"/>
                <w:szCs w:val="22"/>
                <w:lang w:eastAsia="en-GB"/>
              </w:rPr>
              <w:t>There is an established TB service operating across Bristol</w:t>
            </w:r>
            <w:r w:rsidR="002C187C">
              <w:rPr>
                <w:rFonts w:ascii="Arial" w:hAnsi="Arial" w:cs="Arial"/>
                <w:sz w:val="20"/>
                <w:szCs w:val="22"/>
                <w:lang w:eastAsia="en-GB"/>
              </w:rPr>
              <w:t xml:space="preserve"> </w:t>
            </w:r>
            <w:r w:rsidRPr="00A8778D">
              <w:rPr>
                <w:rFonts w:ascii="Arial" w:hAnsi="Arial" w:cs="Arial"/>
                <w:sz w:val="20"/>
                <w:szCs w:val="22"/>
                <w:lang w:eastAsia="en-GB"/>
              </w:rPr>
              <w:t>which leads on the clinical management of cases, contact tracing and works with Public Health England in response to more complex TB incidents or outbreak situations.</w:t>
            </w:r>
            <w:r w:rsidR="003B6EFA">
              <w:rPr>
                <w:rFonts w:ascii="Arial" w:hAnsi="Arial" w:cs="Arial"/>
                <w:sz w:val="20"/>
                <w:szCs w:val="22"/>
                <w:lang w:eastAsia="en-GB"/>
              </w:rPr>
              <w:t xml:space="preserve"> </w:t>
            </w:r>
            <w:r w:rsidR="002E4AD8">
              <w:rPr>
                <w:rFonts w:ascii="Arial" w:hAnsi="Arial" w:cs="Arial"/>
                <w:bCs/>
                <w:sz w:val="20"/>
              </w:rPr>
              <w:t>The</w:t>
            </w:r>
            <w:r w:rsidR="00371A40" w:rsidRPr="003B6EFA">
              <w:rPr>
                <w:rFonts w:ascii="Arial" w:hAnsi="Arial" w:cs="Arial"/>
                <w:bCs/>
                <w:sz w:val="20"/>
              </w:rPr>
              <w:t xml:space="preserve"> TB Service is supported by UHB Avon TB Consultant. </w:t>
            </w:r>
          </w:p>
          <w:p w:rsidR="00371A40" w:rsidRDefault="00371A40" w:rsidP="003B6EFA">
            <w:pPr>
              <w:pStyle w:val="NoSpacing"/>
              <w:rPr>
                <w:rFonts w:ascii="Arial" w:hAnsi="Arial" w:cs="Arial"/>
                <w:sz w:val="20"/>
                <w:szCs w:val="22"/>
                <w:lang w:eastAsia="en-GB"/>
              </w:rPr>
            </w:pPr>
          </w:p>
          <w:p w:rsidR="002C187C" w:rsidRPr="002C187C" w:rsidRDefault="002C187C" w:rsidP="001C3BF0">
            <w:pPr>
              <w:pStyle w:val="NoSpacing"/>
              <w:ind w:left="720"/>
              <w:rPr>
                <w:rFonts w:ascii="Arial" w:hAnsi="Arial" w:cs="Arial"/>
                <w:sz w:val="20"/>
                <w:szCs w:val="22"/>
                <w:lang w:eastAsia="en-GB"/>
              </w:rPr>
            </w:pPr>
            <w:r>
              <w:rPr>
                <w:rFonts w:ascii="Arial" w:hAnsi="Arial" w:cs="Arial"/>
                <w:sz w:val="20"/>
                <w:szCs w:val="22"/>
                <w:lang w:eastAsia="en-GB"/>
              </w:rPr>
              <w:t xml:space="preserve">This Pharmacy Service is in place to support </w:t>
            </w:r>
            <w:r w:rsidRPr="002C187C">
              <w:rPr>
                <w:rFonts w:ascii="Arial" w:hAnsi="Arial" w:cs="Arial"/>
                <w:bCs/>
                <w:sz w:val="20"/>
              </w:rPr>
              <w:t>by providing supervised consumption of antimicrobial therapy.</w:t>
            </w:r>
          </w:p>
          <w:p w:rsidR="00F447B4" w:rsidRDefault="00F447B4" w:rsidP="001C3BF0">
            <w:pPr>
              <w:pStyle w:val="NoSpacing"/>
              <w:ind w:left="720"/>
              <w:rPr>
                <w:rFonts w:ascii="Arial" w:hAnsi="Arial" w:cs="Arial"/>
                <w:sz w:val="20"/>
                <w:szCs w:val="22"/>
                <w:lang w:eastAsia="en-GB"/>
              </w:rPr>
            </w:pPr>
          </w:p>
          <w:p w:rsidR="00F447B4" w:rsidRDefault="00FB2BC4" w:rsidP="001C3BF0">
            <w:pPr>
              <w:pStyle w:val="NoSpacing"/>
              <w:numPr>
                <w:ilvl w:val="0"/>
                <w:numId w:val="12"/>
              </w:numPr>
              <w:rPr>
                <w:rFonts w:ascii="Arial" w:hAnsi="Arial" w:cs="Arial"/>
                <w:sz w:val="20"/>
                <w:szCs w:val="22"/>
                <w:lang w:eastAsia="en-GB"/>
              </w:rPr>
            </w:pPr>
            <w:r>
              <w:rPr>
                <w:rFonts w:ascii="Arial" w:hAnsi="Arial" w:cs="Arial"/>
                <w:sz w:val="20"/>
                <w:szCs w:val="22"/>
                <w:lang w:eastAsia="en-GB"/>
              </w:rPr>
              <w:t>Health and Wellbeing in Bristol 2018 Joint Strategic Needs Assessment Data Profile</w:t>
            </w:r>
          </w:p>
          <w:p w:rsidR="00F447B4" w:rsidRPr="003B6EFA" w:rsidRDefault="0019559A" w:rsidP="003B6EFA">
            <w:pPr>
              <w:pStyle w:val="NoSpacing"/>
              <w:ind w:left="1080"/>
              <w:rPr>
                <w:rFonts w:ascii="Arial" w:hAnsi="Arial" w:cs="Arial"/>
                <w:sz w:val="20"/>
                <w:szCs w:val="22"/>
                <w:lang w:eastAsia="en-GB"/>
              </w:rPr>
            </w:pPr>
            <w:hyperlink r:id="rId9" w:history="1">
              <w:r w:rsidR="00FB2BC4" w:rsidRPr="00FB2BC4">
                <w:rPr>
                  <w:rStyle w:val="Hyperlink"/>
                  <w:rFonts w:ascii="Arial" w:hAnsi="Arial" w:cs="Arial"/>
                  <w:sz w:val="20"/>
                  <w:szCs w:val="22"/>
                  <w:lang w:eastAsia="en-GB"/>
                </w:rPr>
                <w:t>https://www.bristol.gov.uk/documents/20182/34748/JSNA+2018+Data+Profile.pdf/f931b437-84fc-699a-639f-89dde144b142</w:t>
              </w:r>
            </w:hyperlink>
          </w:p>
        </w:tc>
      </w:tr>
      <w:tr w:rsidR="00637269" w:rsidTr="00637269">
        <w:tc>
          <w:tcPr>
            <w:tcW w:w="8414"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rPr>
            </w:pPr>
            <w:r>
              <w:rPr>
                <w:rFonts w:ascii="Arial" w:hAnsi="Arial" w:cs="Arial"/>
                <w:b/>
              </w:rPr>
              <w:t>2.</w:t>
            </w:r>
            <w:r>
              <w:rPr>
                <w:rFonts w:ascii="Arial" w:hAnsi="Arial" w:cs="Arial"/>
                <w:b/>
              </w:rPr>
              <w:tab/>
              <w:t>Outcomes</w:t>
            </w:r>
          </w:p>
        </w:tc>
      </w:tr>
      <w:tr w:rsidR="00637269" w:rsidTr="00637269">
        <w:tc>
          <w:tcPr>
            <w:tcW w:w="8414" w:type="dxa"/>
            <w:tcBorders>
              <w:top w:val="single" w:sz="4" w:space="0" w:color="auto"/>
              <w:left w:val="single" w:sz="4" w:space="0" w:color="auto"/>
              <w:bottom w:val="single" w:sz="4" w:space="0" w:color="auto"/>
              <w:right w:val="single" w:sz="4" w:space="0" w:color="auto"/>
            </w:tcBorders>
          </w:tcPr>
          <w:p w:rsidR="00637269" w:rsidRDefault="00637269">
            <w:pPr>
              <w:spacing w:after="0" w:line="276" w:lineRule="auto"/>
              <w:rPr>
                <w:rFonts w:ascii="Arial" w:hAnsi="Arial" w:cs="Arial"/>
                <w:b/>
                <w:sz w:val="20"/>
              </w:rPr>
            </w:pPr>
          </w:p>
          <w:p w:rsidR="00637269" w:rsidRDefault="00637269">
            <w:pPr>
              <w:spacing w:after="0" w:line="276" w:lineRule="auto"/>
              <w:rPr>
                <w:rFonts w:ascii="Arial" w:hAnsi="Arial" w:cs="Arial"/>
                <w:b/>
                <w:sz w:val="20"/>
              </w:rPr>
            </w:pPr>
            <w:r>
              <w:rPr>
                <w:rFonts w:ascii="Arial" w:hAnsi="Arial" w:cs="Arial"/>
                <w:b/>
                <w:sz w:val="20"/>
              </w:rPr>
              <w:t>2.1</w:t>
            </w:r>
            <w:r>
              <w:rPr>
                <w:rFonts w:ascii="Arial" w:hAnsi="Arial" w:cs="Arial"/>
                <w:b/>
                <w:sz w:val="20"/>
              </w:rPr>
              <w:tab/>
            </w:r>
            <w:r>
              <w:rPr>
                <w:rFonts w:ascii="Arial" w:hAnsi="Arial" w:cs="Arial"/>
                <w:b/>
                <w:sz w:val="20"/>
                <w:u w:val="single"/>
              </w:rPr>
              <w:t>NHS Outcomes Framework Domains &amp; Indicators</w:t>
            </w:r>
          </w:p>
          <w:p w:rsidR="00637269" w:rsidRDefault="00637269">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637269">
              <w:trPr>
                <w:tblHeader/>
              </w:trPr>
              <w:tc>
                <w:tcPr>
                  <w:tcW w:w="1276"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Domain 1</w:t>
                  </w:r>
                </w:p>
              </w:tc>
              <w:tc>
                <w:tcPr>
                  <w:tcW w:w="5528"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Preventing people from dying prematurely</w:t>
                  </w:r>
                </w:p>
              </w:tc>
              <w:tc>
                <w:tcPr>
                  <w:tcW w:w="641" w:type="dxa"/>
                  <w:tcBorders>
                    <w:top w:val="single" w:sz="4" w:space="0" w:color="auto"/>
                    <w:left w:val="single" w:sz="4" w:space="0" w:color="auto"/>
                    <w:bottom w:val="single" w:sz="4" w:space="0" w:color="auto"/>
                    <w:right w:val="single" w:sz="4" w:space="0" w:color="auto"/>
                  </w:tcBorders>
                </w:tcPr>
                <w:p w:rsidR="00637269" w:rsidRDefault="00771EB3">
                  <w:pPr>
                    <w:spacing w:after="0" w:line="276" w:lineRule="auto"/>
                    <w:rPr>
                      <w:rFonts w:ascii="Arial" w:hAnsi="Arial" w:cs="Arial"/>
                      <w:b/>
                      <w:sz w:val="20"/>
                      <w:lang w:eastAsia="en-GB"/>
                    </w:rPr>
                  </w:pPr>
                  <w:r>
                    <w:rPr>
                      <w:rFonts w:ascii="Arial" w:hAnsi="Arial" w:cs="Arial"/>
                      <w:b/>
                      <w:sz w:val="20"/>
                      <w:lang w:eastAsia="en-GB"/>
                    </w:rPr>
                    <w:t>X</w:t>
                  </w:r>
                </w:p>
              </w:tc>
            </w:tr>
            <w:tr w:rsidR="00637269">
              <w:tc>
                <w:tcPr>
                  <w:tcW w:w="1276"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Domain 2</w:t>
                  </w:r>
                </w:p>
              </w:tc>
              <w:tc>
                <w:tcPr>
                  <w:tcW w:w="5528"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Enhancing quality of life for people with long-term conditions</w:t>
                  </w:r>
                </w:p>
              </w:tc>
              <w:tc>
                <w:tcPr>
                  <w:tcW w:w="641" w:type="dxa"/>
                  <w:tcBorders>
                    <w:top w:val="single" w:sz="4" w:space="0" w:color="auto"/>
                    <w:left w:val="single" w:sz="4" w:space="0" w:color="auto"/>
                    <w:bottom w:val="single" w:sz="4" w:space="0" w:color="auto"/>
                    <w:right w:val="single" w:sz="4" w:space="0" w:color="auto"/>
                  </w:tcBorders>
                </w:tcPr>
                <w:p w:rsidR="00637269" w:rsidRDefault="00771EB3">
                  <w:pPr>
                    <w:spacing w:after="0" w:line="276" w:lineRule="auto"/>
                    <w:rPr>
                      <w:rFonts w:ascii="Arial" w:hAnsi="Arial" w:cs="Arial"/>
                      <w:b/>
                      <w:sz w:val="20"/>
                      <w:lang w:eastAsia="en-GB"/>
                    </w:rPr>
                  </w:pPr>
                  <w:r>
                    <w:rPr>
                      <w:rFonts w:ascii="Arial" w:hAnsi="Arial" w:cs="Arial"/>
                      <w:b/>
                      <w:sz w:val="20"/>
                      <w:lang w:eastAsia="en-GB"/>
                    </w:rPr>
                    <w:t>X</w:t>
                  </w:r>
                </w:p>
              </w:tc>
            </w:tr>
            <w:tr w:rsidR="00637269">
              <w:tc>
                <w:tcPr>
                  <w:tcW w:w="1276"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Domain 3</w:t>
                  </w:r>
                </w:p>
              </w:tc>
              <w:tc>
                <w:tcPr>
                  <w:tcW w:w="5528"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Helping people to recover from episodes of ill-health or following injury</w:t>
                  </w:r>
                </w:p>
              </w:tc>
              <w:tc>
                <w:tcPr>
                  <w:tcW w:w="641" w:type="dxa"/>
                  <w:tcBorders>
                    <w:top w:val="single" w:sz="4" w:space="0" w:color="auto"/>
                    <w:left w:val="single" w:sz="4" w:space="0" w:color="auto"/>
                    <w:bottom w:val="single" w:sz="4" w:space="0" w:color="auto"/>
                    <w:right w:val="single" w:sz="4" w:space="0" w:color="auto"/>
                  </w:tcBorders>
                </w:tcPr>
                <w:p w:rsidR="00637269" w:rsidRDefault="00771EB3">
                  <w:pPr>
                    <w:spacing w:after="0" w:line="276" w:lineRule="auto"/>
                    <w:rPr>
                      <w:rFonts w:ascii="Arial" w:hAnsi="Arial" w:cs="Arial"/>
                      <w:b/>
                      <w:sz w:val="20"/>
                      <w:lang w:eastAsia="en-GB"/>
                    </w:rPr>
                  </w:pPr>
                  <w:r>
                    <w:rPr>
                      <w:rFonts w:ascii="Arial" w:hAnsi="Arial" w:cs="Arial"/>
                      <w:b/>
                      <w:sz w:val="20"/>
                      <w:lang w:eastAsia="en-GB"/>
                    </w:rPr>
                    <w:t>X</w:t>
                  </w:r>
                </w:p>
              </w:tc>
            </w:tr>
            <w:tr w:rsidR="00637269">
              <w:tc>
                <w:tcPr>
                  <w:tcW w:w="1276"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Domain 4</w:t>
                  </w:r>
                </w:p>
              </w:tc>
              <w:tc>
                <w:tcPr>
                  <w:tcW w:w="5528"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Ensuring people have a positive experience of care</w:t>
                  </w:r>
                </w:p>
              </w:tc>
              <w:tc>
                <w:tcPr>
                  <w:tcW w:w="641" w:type="dxa"/>
                  <w:tcBorders>
                    <w:top w:val="single" w:sz="4" w:space="0" w:color="auto"/>
                    <w:left w:val="single" w:sz="4" w:space="0" w:color="auto"/>
                    <w:bottom w:val="single" w:sz="4" w:space="0" w:color="auto"/>
                    <w:right w:val="single" w:sz="4" w:space="0" w:color="auto"/>
                  </w:tcBorders>
                </w:tcPr>
                <w:p w:rsidR="00637269" w:rsidRDefault="00771EB3">
                  <w:pPr>
                    <w:spacing w:after="0" w:line="276" w:lineRule="auto"/>
                    <w:rPr>
                      <w:rFonts w:ascii="Arial" w:hAnsi="Arial" w:cs="Arial"/>
                      <w:b/>
                      <w:sz w:val="20"/>
                      <w:lang w:eastAsia="en-GB"/>
                    </w:rPr>
                  </w:pPr>
                  <w:r>
                    <w:rPr>
                      <w:rFonts w:ascii="Arial" w:hAnsi="Arial" w:cs="Arial"/>
                      <w:b/>
                      <w:sz w:val="20"/>
                      <w:lang w:eastAsia="en-GB"/>
                    </w:rPr>
                    <w:t>X</w:t>
                  </w:r>
                </w:p>
              </w:tc>
            </w:tr>
            <w:tr w:rsidR="00637269">
              <w:tc>
                <w:tcPr>
                  <w:tcW w:w="1276"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Domain 5</w:t>
                  </w:r>
                </w:p>
              </w:tc>
              <w:tc>
                <w:tcPr>
                  <w:tcW w:w="5528"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sz w:val="20"/>
                      <w:lang w:eastAsia="en-GB"/>
                    </w:rPr>
                  </w:pPr>
                  <w:r>
                    <w:rPr>
                      <w:rFonts w:ascii="Arial" w:hAnsi="Arial" w:cs="Arial"/>
                      <w:b/>
                      <w:sz w:val="20"/>
                      <w:lang w:eastAsia="en-GB"/>
                    </w:rPr>
                    <w:t>Treating and caring for people in safe environment and protecting them from avoidable harm</w:t>
                  </w:r>
                </w:p>
              </w:tc>
              <w:tc>
                <w:tcPr>
                  <w:tcW w:w="641" w:type="dxa"/>
                  <w:tcBorders>
                    <w:top w:val="single" w:sz="4" w:space="0" w:color="auto"/>
                    <w:left w:val="single" w:sz="4" w:space="0" w:color="auto"/>
                    <w:bottom w:val="single" w:sz="4" w:space="0" w:color="auto"/>
                    <w:right w:val="single" w:sz="4" w:space="0" w:color="auto"/>
                  </w:tcBorders>
                </w:tcPr>
                <w:p w:rsidR="00637269" w:rsidRDefault="00771EB3">
                  <w:pPr>
                    <w:spacing w:after="0" w:line="276" w:lineRule="auto"/>
                    <w:rPr>
                      <w:rFonts w:ascii="Arial" w:hAnsi="Arial" w:cs="Arial"/>
                      <w:b/>
                      <w:sz w:val="20"/>
                      <w:lang w:eastAsia="en-GB"/>
                    </w:rPr>
                  </w:pPr>
                  <w:r>
                    <w:rPr>
                      <w:rFonts w:ascii="Arial" w:hAnsi="Arial" w:cs="Arial"/>
                      <w:b/>
                      <w:sz w:val="20"/>
                      <w:lang w:eastAsia="en-GB"/>
                    </w:rPr>
                    <w:t>X</w:t>
                  </w:r>
                </w:p>
              </w:tc>
            </w:tr>
          </w:tbl>
          <w:p w:rsidR="00637269" w:rsidRDefault="00637269">
            <w:pPr>
              <w:spacing w:after="0" w:line="276" w:lineRule="auto"/>
              <w:rPr>
                <w:rFonts w:ascii="Arial" w:hAnsi="Arial" w:cs="Arial"/>
                <w:b/>
                <w:sz w:val="20"/>
              </w:rPr>
            </w:pPr>
          </w:p>
          <w:p w:rsidR="00637269" w:rsidRDefault="00637269">
            <w:pPr>
              <w:spacing w:after="0" w:line="276" w:lineRule="auto"/>
              <w:rPr>
                <w:rFonts w:ascii="Arial" w:hAnsi="Arial" w:cs="Arial"/>
                <w:b/>
                <w:sz w:val="20"/>
              </w:rPr>
            </w:pPr>
          </w:p>
        </w:tc>
      </w:tr>
      <w:tr w:rsidR="00637269" w:rsidTr="00637269">
        <w:tc>
          <w:tcPr>
            <w:tcW w:w="8414"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rPr>
            </w:pPr>
            <w:r>
              <w:rPr>
                <w:rFonts w:ascii="Arial" w:hAnsi="Arial" w:cs="Arial"/>
                <w:b/>
              </w:rPr>
              <w:t>3.</w:t>
            </w:r>
            <w:r>
              <w:rPr>
                <w:rFonts w:ascii="Arial" w:hAnsi="Arial" w:cs="Arial"/>
                <w:b/>
              </w:rPr>
              <w:tab/>
              <w:t>Scope</w:t>
            </w:r>
          </w:p>
        </w:tc>
      </w:tr>
      <w:tr w:rsidR="00637269" w:rsidTr="00637269">
        <w:tc>
          <w:tcPr>
            <w:tcW w:w="8414" w:type="dxa"/>
            <w:tcBorders>
              <w:top w:val="single" w:sz="4" w:space="0" w:color="auto"/>
              <w:left w:val="single" w:sz="4" w:space="0" w:color="auto"/>
              <w:bottom w:val="single" w:sz="4" w:space="0" w:color="auto"/>
              <w:right w:val="single" w:sz="4" w:space="0" w:color="auto"/>
            </w:tcBorders>
          </w:tcPr>
          <w:p w:rsidR="00FD56F9" w:rsidRDefault="00FD56F9" w:rsidP="00FD56F9">
            <w:pPr>
              <w:pStyle w:val="Default"/>
              <w:rPr>
                <w:color w:val="auto"/>
              </w:rPr>
            </w:pPr>
          </w:p>
          <w:p w:rsidR="00FD56F9" w:rsidRPr="00F0481D" w:rsidRDefault="00FD56F9" w:rsidP="00FD56F9">
            <w:pPr>
              <w:pStyle w:val="Default"/>
              <w:rPr>
                <w:b/>
                <w:sz w:val="20"/>
              </w:rPr>
            </w:pPr>
            <w:r w:rsidRPr="00F0481D">
              <w:rPr>
                <w:b/>
                <w:sz w:val="20"/>
              </w:rPr>
              <w:t xml:space="preserve">3.1 Aims and Intended Service Outcomes </w:t>
            </w:r>
          </w:p>
          <w:p w:rsidR="00FD56F9" w:rsidRPr="00F0481D" w:rsidRDefault="00FD56F9" w:rsidP="00FD56F9">
            <w:pPr>
              <w:pStyle w:val="Default"/>
              <w:rPr>
                <w:sz w:val="20"/>
              </w:rPr>
            </w:pPr>
          </w:p>
          <w:p w:rsidR="00FD56F9" w:rsidRPr="00F0481D" w:rsidRDefault="001C3BF0" w:rsidP="00FD56F9">
            <w:pPr>
              <w:pStyle w:val="Default"/>
              <w:rPr>
                <w:sz w:val="20"/>
                <w:szCs w:val="20"/>
              </w:rPr>
            </w:pPr>
            <w:r w:rsidRPr="00F0481D">
              <w:rPr>
                <w:sz w:val="20"/>
                <w:szCs w:val="20"/>
              </w:rPr>
              <w:t>3.1.1 To support services providing care for patients with Tuberculosis (TB).</w:t>
            </w:r>
          </w:p>
          <w:p w:rsidR="001C3BF0" w:rsidRPr="00F0481D" w:rsidRDefault="001C3BF0" w:rsidP="00FD56F9">
            <w:pPr>
              <w:pStyle w:val="Default"/>
              <w:rPr>
                <w:sz w:val="20"/>
                <w:szCs w:val="20"/>
              </w:rPr>
            </w:pPr>
          </w:p>
          <w:p w:rsidR="001C3BF0" w:rsidRPr="00F0481D" w:rsidRDefault="001C3BF0" w:rsidP="00FD56F9">
            <w:pPr>
              <w:pStyle w:val="Default"/>
              <w:rPr>
                <w:sz w:val="20"/>
                <w:szCs w:val="20"/>
              </w:rPr>
            </w:pPr>
            <w:r w:rsidRPr="00F0481D">
              <w:rPr>
                <w:sz w:val="20"/>
                <w:szCs w:val="20"/>
              </w:rPr>
              <w:t>3.1.2 To ensure that patients prescribed antimicrobial therapy for the treatment of TB can have their treatment supervised by a healthcare professional when this is appropriate.</w:t>
            </w:r>
          </w:p>
          <w:p w:rsidR="001C3BF0" w:rsidRPr="00F0481D" w:rsidRDefault="001C3BF0" w:rsidP="00FD56F9">
            <w:pPr>
              <w:pStyle w:val="Default"/>
              <w:rPr>
                <w:sz w:val="20"/>
                <w:szCs w:val="20"/>
              </w:rPr>
            </w:pPr>
          </w:p>
          <w:p w:rsidR="001C3BF0" w:rsidRPr="00F0481D" w:rsidRDefault="001C3BF0" w:rsidP="00FD56F9">
            <w:pPr>
              <w:pStyle w:val="Default"/>
              <w:rPr>
                <w:sz w:val="20"/>
                <w:szCs w:val="20"/>
              </w:rPr>
            </w:pPr>
            <w:r w:rsidRPr="00F0481D">
              <w:rPr>
                <w:sz w:val="20"/>
                <w:szCs w:val="20"/>
              </w:rPr>
              <w:t>3.1.3 To reduce pressure on TB service</w:t>
            </w:r>
            <w:r w:rsidR="00F0481D" w:rsidRPr="00F0481D">
              <w:rPr>
                <w:sz w:val="20"/>
                <w:szCs w:val="20"/>
              </w:rPr>
              <w:t>s</w:t>
            </w:r>
            <w:r w:rsidRPr="00F0481D">
              <w:rPr>
                <w:sz w:val="20"/>
                <w:szCs w:val="20"/>
              </w:rPr>
              <w:t xml:space="preserve"> by delegating supervision of consumption of antimicrobial treatment to community pharmacists where possible</w:t>
            </w:r>
          </w:p>
          <w:p w:rsidR="001C3BF0" w:rsidRPr="00F0481D" w:rsidRDefault="001C3BF0" w:rsidP="00FD56F9">
            <w:pPr>
              <w:pStyle w:val="Default"/>
              <w:rPr>
                <w:sz w:val="20"/>
                <w:szCs w:val="20"/>
              </w:rPr>
            </w:pPr>
          </w:p>
          <w:p w:rsidR="001C3BF0" w:rsidRPr="00F0481D" w:rsidRDefault="001C3BF0" w:rsidP="00FD56F9">
            <w:pPr>
              <w:pStyle w:val="Default"/>
              <w:rPr>
                <w:sz w:val="20"/>
                <w:szCs w:val="20"/>
              </w:rPr>
            </w:pPr>
            <w:r w:rsidRPr="00F0481D">
              <w:rPr>
                <w:sz w:val="20"/>
                <w:szCs w:val="20"/>
              </w:rPr>
              <w:t>3.1.4 To improve the patient experience by making it possible for supervision to take place at the patient’s local designated community pharmacy</w:t>
            </w:r>
          </w:p>
          <w:p w:rsidR="001C3BF0" w:rsidRPr="00F0481D" w:rsidRDefault="001C3BF0" w:rsidP="00FD56F9">
            <w:pPr>
              <w:pStyle w:val="Default"/>
              <w:rPr>
                <w:sz w:val="20"/>
                <w:szCs w:val="20"/>
              </w:rPr>
            </w:pPr>
          </w:p>
          <w:p w:rsidR="00FB2BC4" w:rsidRPr="00F0481D" w:rsidRDefault="00FB2BC4" w:rsidP="00FD56F9">
            <w:pPr>
              <w:pStyle w:val="Default"/>
              <w:rPr>
                <w:sz w:val="20"/>
                <w:szCs w:val="20"/>
              </w:rPr>
            </w:pPr>
          </w:p>
          <w:p w:rsidR="00FD56F9" w:rsidRPr="00F0481D" w:rsidRDefault="00FD56F9" w:rsidP="00FD56F9">
            <w:pPr>
              <w:pStyle w:val="Default"/>
              <w:rPr>
                <w:b/>
                <w:bCs/>
                <w:sz w:val="20"/>
                <w:szCs w:val="20"/>
              </w:rPr>
            </w:pPr>
            <w:r w:rsidRPr="00F0481D">
              <w:rPr>
                <w:b/>
                <w:bCs/>
                <w:sz w:val="20"/>
                <w:szCs w:val="20"/>
              </w:rPr>
              <w:t>3.2 This serv</w:t>
            </w:r>
            <w:r w:rsidR="001C3BF0" w:rsidRPr="00F0481D">
              <w:rPr>
                <w:b/>
                <w:bCs/>
                <w:sz w:val="20"/>
                <w:szCs w:val="20"/>
              </w:rPr>
              <w:t>ice should benefit patients</w:t>
            </w:r>
            <w:r w:rsidRPr="00F0481D">
              <w:rPr>
                <w:b/>
                <w:bCs/>
                <w:sz w:val="20"/>
                <w:szCs w:val="20"/>
              </w:rPr>
              <w:t xml:space="preserve">: </w:t>
            </w:r>
          </w:p>
          <w:p w:rsidR="00FD56F9" w:rsidRPr="00F0481D" w:rsidRDefault="00FD56F9" w:rsidP="00FD56F9">
            <w:pPr>
              <w:pStyle w:val="Default"/>
              <w:rPr>
                <w:sz w:val="20"/>
                <w:szCs w:val="20"/>
              </w:rPr>
            </w:pPr>
          </w:p>
          <w:p w:rsidR="00FD56F9" w:rsidRPr="00F0481D" w:rsidRDefault="001C3BF0" w:rsidP="00FD56F9">
            <w:pPr>
              <w:pStyle w:val="Default"/>
              <w:rPr>
                <w:sz w:val="20"/>
                <w:szCs w:val="20"/>
              </w:rPr>
            </w:pPr>
            <w:r w:rsidRPr="00F0481D">
              <w:rPr>
                <w:sz w:val="20"/>
                <w:szCs w:val="20"/>
              </w:rPr>
              <w:t>3.2.1 When the patient needs to have their TB treatment supervised</w:t>
            </w:r>
          </w:p>
          <w:p w:rsidR="001C3BF0" w:rsidRPr="00F0481D" w:rsidRDefault="001C3BF0" w:rsidP="00FD56F9">
            <w:pPr>
              <w:pStyle w:val="Default"/>
              <w:rPr>
                <w:sz w:val="20"/>
                <w:szCs w:val="20"/>
              </w:rPr>
            </w:pPr>
          </w:p>
          <w:p w:rsidR="001C3BF0" w:rsidRPr="00F0481D" w:rsidRDefault="001C3BF0" w:rsidP="00FD56F9">
            <w:pPr>
              <w:pStyle w:val="Default"/>
              <w:rPr>
                <w:sz w:val="20"/>
                <w:szCs w:val="20"/>
              </w:rPr>
            </w:pPr>
            <w:r w:rsidRPr="00F0481D">
              <w:rPr>
                <w:sz w:val="20"/>
                <w:szCs w:val="20"/>
              </w:rPr>
              <w:t>3.2.2 It will be less intrusive compared to observations in the patient’s home</w:t>
            </w:r>
          </w:p>
          <w:p w:rsidR="001C3BF0" w:rsidRPr="00F0481D" w:rsidRDefault="001C3BF0" w:rsidP="00FD56F9">
            <w:pPr>
              <w:pStyle w:val="Default"/>
              <w:rPr>
                <w:sz w:val="20"/>
                <w:szCs w:val="20"/>
              </w:rPr>
            </w:pPr>
          </w:p>
          <w:p w:rsidR="001C3BF0" w:rsidRPr="00F0481D" w:rsidRDefault="001C3BF0" w:rsidP="00FD56F9">
            <w:pPr>
              <w:pStyle w:val="Default"/>
              <w:rPr>
                <w:sz w:val="20"/>
                <w:szCs w:val="20"/>
              </w:rPr>
            </w:pPr>
          </w:p>
          <w:p w:rsidR="00FD56F9" w:rsidRPr="00F0481D" w:rsidRDefault="00FD56F9" w:rsidP="00FD56F9">
            <w:pPr>
              <w:pStyle w:val="Default"/>
              <w:numPr>
                <w:ilvl w:val="1"/>
                <w:numId w:val="6"/>
              </w:numPr>
              <w:rPr>
                <w:b/>
                <w:bCs/>
                <w:sz w:val="20"/>
                <w:szCs w:val="20"/>
              </w:rPr>
            </w:pPr>
            <w:r w:rsidRPr="00F0481D">
              <w:rPr>
                <w:b/>
                <w:bCs/>
                <w:sz w:val="20"/>
                <w:szCs w:val="20"/>
              </w:rPr>
              <w:t xml:space="preserve">Scope of Service </w:t>
            </w:r>
          </w:p>
          <w:p w:rsidR="00FD56F9" w:rsidRPr="00F0481D" w:rsidRDefault="00FD56F9" w:rsidP="00FD56F9">
            <w:pPr>
              <w:pStyle w:val="Default"/>
              <w:rPr>
                <w:b/>
                <w:bCs/>
                <w:sz w:val="20"/>
                <w:szCs w:val="20"/>
              </w:rPr>
            </w:pPr>
          </w:p>
          <w:p w:rsidR="002A38DA" w:rsidRPr="00F0481D" w:rsidRDefault="002A38DA" w:rsidP="002A38DA">
            <w:pPr>
              <w:pStyle w:val="Default"/>
              <w:numPr>
                <w:ilvl w:val="2"/>
                <w:numId w:val="6"/>
              </w:numPr>
              <w:rPr>
                <w:bCs/>
                <w:sz w:val="20"/>
                <w:szCs w:val="20"/>
              </w:rPr>
            </w:pPr>
            <w:r w:rsidRPr="00F0481D">
              <w:rPr>
                <w:bCs/>
                <w:sz w:val="20"/>
                <w:szCs w:val="20"/>
              </w:rPr>
              <w:t xml:space="preserve">The service facilitates the appropriate supervision of medication consumption by enabling the pharmacy contractor to charge </w:t>
            </w:r>
            <w:r w:rsidR="00023542">
              <w:rPr>
                <w:bCs/>
                <w:sz w:val="20"/>
                <w:szCs w:val="20"/>
              </w:rPr>
              <w:t>the commissioner</w:t>
            </w:r>
            <w:r w:rsidRPr="00F0481D">
              <w:rPr>
                <w:bCs/>
                <w:sz w:val="20"/>
                <w:szCs w:val="20"/>
              </w:rPr>
              <w:t xml:space="preserve"> a fee for the dispensing (including consumables) and the supervision of the antimicrobial therapy for the treatment of TB prescribed on FP10(HP) prescriptions by secondary care.</w:t>
            </w:r>
          </w:p>
          <w:p w:rsidR="002A38DA" w:rsidRPr="00F0481D" w:rsidRDefault="002A38DA" w:rsidP="002A38DA">
            <w:pPr>
              <w:pStyle w:val="Default"/>
              <w:rPr>
                <w:bCs/>
                <w:sz w:val="20"/>
                <w:szCs w:val="20"/>
              </w:rPr>
            </w:pPr>
          </w:p>
          <w:p w:rsidR="002A38DA" w:rsidRPr="00F0481D" w:rsidRDefault="002A38DA" w:rsidP="002A38DA">
            <w:pPr>
              <w:pStyle w:val="Default"/>
              <w:numPr>
                <w:ilvl w:val="2"/>
                <w:numId w:val="6"/>
              </w:numPr>
              <w:rPr>
                <w:bCs/>
                <w:sz w:val="20"/>
                <w:szCs w:val="20"/>
              </w:rPr>
            </w:pPr>
            <w:r w:rsidRPr="00F0481D">
              <w:rPr>
                <w:bCs/>
                <w:sz w:val="20"/>
                <w:szCs w:val="20"/>
              </w:rPr>
              <w:t>This service does not amend in any way the essential pharmaceutical services regulations that the pharmacy must comply with under their terms of service with NHS England. Note the section on instalment dispensing however.</w:t>
            </w:r>
          </w:p>
          <w:p w:rsidR="002A38DA" w:rsidRPr="00F0481D" w:rsidRDefault="002A38DA" w:rsidP="002A38DA">
            <w:pPr>
              <w:pStyle w:val="ListParagraph"/>
              <w:rPr>
                <w:b/>
                <w:bCs/>
                <w:sz w:val="20"/>
                <w:szCs w:val="20"/>
              </w:rPr>
            </w:pPr>
          </w:p>
          <w:p w:rsidR="002A38DA" w:rsidRPr="00F0481D" w:rsidRDefault="002A38DA" w:rsidP="002A38DA">
            <w:pPr>
              <w:pStyle w:val="Default"/>
              <w:numPr>
                <w:ilvl w:val="2"/>
                <w:numId w:val="6"/>
              </w:numPr>
              <w:rPr>
                <w:bCs/>
                <w:sz w:val="20"/>
                <w:szCs w:val="20"/>
              </w:rPr>
            </w:pPr>
            <w:r w:rsidRPr="00F0481D">
              <w:rPr>
                <w:bCs/>
                <w:sz w:val="20"/>
                <w:szCs w:val="20"/>
              </w:rPr>
              <w:t>All legal and ethical decisions on the part of the pharmacist remain as outlined in current RPS and GPhC guidance</w:t>
            </w:r>
          </w:p>
          <w:p w:rsidR="002A38DA" w:rsidRPr="00F0481D" w:rsidRDefault="002A38DA" w:rsidP="002A38DA">
            <w:pPr>
              <w:pStyle w:val="ListParagraph"/>
              <w:rPr>
                <w:bCs/>
                <w:sz w:val="20"/>
                <w:szCs w:val="20"/>
              </w:rPr>
            </w:pPr>
          </w:p>
          <w:p w:rsidR="002A38DA" w:rsidRPr="00F0481D" w:rsidRDefault="002A38DA" w:rsidP="002A38DA">
            <w:pPr>
              <w:pStyle w:val="Default"/>
              <w:numPr>
                <w:ilvl w:val="2"/>
                <w:numId w:val="6"/>
              </w:numPr>
              <w:rPr>
                <w:bCs/>
                <w:sz w:val="20"/>
                <w:szCs w:val="20"/>
              </w:rPr>
            </w:pPr>
            <w:r w:rsidRPr="00F0481D">
              <w:rPr>
                <w:bCs/>
                <w:sz w:val="20"/>
                <w:szCs w:val="20"/>
              </w:rPr>
              <w:t>Only antimicrobials prescribed on form FP10(HP) for specific named patients will be eligible under the scheme</w:t>
            </w:r>
          </w:p>
          <w:p w:rsidR="002A38DA" w:rsidRPr="00F0481D" w:rsidRDefault="002A38DA" w:rsidP="002A38DA">
            <w:pPr>
              <w:pStyle w:val="ListParagraph"/>
              <w:rPr>
                <w:bCs/>
                <w:sz w:val="20"/>
                <w:szCs w:val="20"/>
              </w:rPr>
            </w:pPr>
          </w:p>
          <w:p w:rsidR="002A38DA" w:rsidRPr="00F0481D" w:rsidRDefault="00425064" w:rsidP="002A38DA">
            <w:pPr>
              <w:pStyle w:val="Default"/>
              <w:numPr>
                <w:ilvl w:val="2"/>
                <w:numId w:val="6"/>
              </w:numPr>
              <w:rPr>
                <w:bCs/>
                <w:sz w:val="20"/>
                <w:szCs w:val="20"/>
              </w:rPr>
            </w:pPr>
            <w:r>
              <w:rPr>
                <w:bCs/>
                <w:sz w:val="20"/>
                <w:szCs w:val="20"/>
              </w:rPr>
              <w:t xml:space="preserve">Numbers of patients who may use this service are likely to be small. </w:t>
            </w:r>
            <w:r w:rsidR="002A38DA" w:rsidRPr="00F0481D">
              <w:rPr>
                <w:bCs/>
                <w:sz w:val="20"/>
                <w:szCs w:val="20"/>
              </w:rPr>
              <w:t>Pharmacy staff may receive communication from TB Service staff</w:t>
            </w:r>
            <w:r>
              <w:rPr>
                <w:bCs/>
                <w:sz w:val="20"/>
                <w:szCs w:val="20"/>
              </w:rPr>
              <w:t xml:space="preserve"> or Avon LPC</w:t>
            </w:r>
            <w:r w:rsidR="002A38DA" w:rsidRPr="00F0481D">
              <w:rPr>
                <w:bCs/>
                <w:sz w:val="20"/>
                <w:szCs w:val="20"/>
              </w:rPr>
              <w:t xml:space="preserve"> requesting that they refer appropriate patients</w:t>
            </w:r>
            <w:r w:rsidR="00F0481D" w:rsidRPr="00F0481D">
              <w:rPr>
                <w:bCs/>
                <w:sz w:val="20"/>
                <w:szCs w:val="20"/>
              </w:rPr>
              <w:t xml:space="preserve"> to the pharmacy</w:t>
            </w:r>
            <w:r w:rsidR="002A38DA" w:rsidRPr="00F0481D">
              <w:rPr>
                <w:bCs/>
                <w:sz w:val="20"/>
                <w:szCs w:val="20"/>
              </w:rPr>
              <w:t>. If the pharmacy contractor does not wish to provide the service they should make this clear at this point</w:t>
            </w:r>
          </w:p>
          <w:p w:rsidR="002A38DA" w:rsidRPr="00F0481D" w:rsidRDefault="002A38DA" w:rsidP="002A38DA">
            <w:pPr>
              <w:pStyle w:val="ListParagraph"/>
              <w:rPr>
                <w:bCs/>
                <w:sz w:val="20"/>
                <w:szCs w:val="20"/>
              </w:rPr>
            </w:pPr>
          </w:p>
          <w:p w:rsidR="002A38DA" w:rsidRPr="00F0481D" w:rsidRDefault="002A38DA" w:rsidP="002A38DA">
            <w:pPr>
              <w:pStyle w:val="Default"/>
              <w:rPr>
                <w:bCs/>
                <w:sz w:val="20"/>
                <w:szCs w:val="20"/>
              </w:rPr>
            </w:pPr>
            <w:r w:rsidRPr="00F0481D">
              <w:rPr>
                <w:bCs/>
                <w:sz w:val="20"/>
                <w:szCs w:val="20"/>
              </w:rPr>
              <w:t>If the pharmacy contractor agrees to provide the service</w:t>
            </w:r>
            <w:r w:rsidR="00425064">
              <w:rPr>
                <w:bCs/>
                <w:sz w:val="20"/>
                <w:szCs w:val="20"/>
              </w:rPr>
              <w:t xml:space="preserve"> and there is a need for a patient to be referred to them</w:t>
            </w:r>
            <w:r w:rsidRPr="00F0481D">
              <w:rPr>
                <w:bCs/>
                <w:sz w:val="20"/>
                <w:szCs w:val="20"/>
              </w:rPr>
              <w:t>;</w:t>
            </w:r>
          </w:p>
          <w:p w:rsidR="002A38DA" w:rsidRPr="00F0481D" w:rsidRDefault="002A38DA" w:rsidP="002A38DA">
            <w:pPr>
              <w:pStyle w:val="Default"/>
              <w:rPr>
                <w:bCs/>
                <w:sz w:val="20"/>
                <w:szCs w:val="20"/>
              </w:rPr>
            </w:pPr>
          </w:p>
          <w:p w:rsidR="002A38DA" w:rsidRPr="00F0481D" w:rsidRDefault="002A38DA" w:rsidP="002A38DA">
            <w:pPr>
              <w:pStyle w:val="Default"/>
              <w:numPr>
                <w:ilvl w:val="2"/>
                <w:numId w:val="6"/>
              </w:numPr>
              <w:rPr>
                <w:bCs/>
                <w:sz w:val="20"/>
                <w:szCs w:val="20"/>
              </w:rPr>
            </w:pPr>
            <w:r w:rsidRPr="00F0481D">
              <w:rPr>
                <w:bCs/>
                <w:sz w:val="20"/>
                <w:szCs w:val="20"/>
              </w:rPr>
              <w:t>They will undertake training about the TB medications they will be providing and the DOTS.</w:t>
            </w:r>
            <w:r w:rsidR="00E91E41">
              <w:rPr>
                <w:bCs/>
                <w:sz w:val="20"/>
                <w:szCs w:val="20"/>
              </w:rPr>
              <w:t xml:space="preserve"> This tr</w:t>
            </w:r>
            <w:r w:rsidR="00FF4600">
              <w:rPr>
                <w:bCs/>
                <w:sz w:val="20"/>
                <w:szCs w:val="20"/>
              </w:rPr>
              <w:t>aining is supported by</w:t>
            </w:r>
            <w:r w:rsidR="00D449BE">
              <w:rPr>
                <w:bCs/>
                <w:sz w:val="20"/>
                <w:szCs w:val="20"/>
              </w:rPr>
              <w:t xml:space="preserve"> the TB Specialist Nurses and</w:t>
            </w:r>
            <w:r w:rsidR="00FF4600">
              <w:rPr>
                <w:bCs/>
                <w:sz w:val="20"/>
                <w:szCs w:val="20"/>
              </w:rPr>
              <w:t xml:space="preserve"> Avon LPC and will be delivered to providers at the point they accept a patient referral.</w:t>
            </w:r>
          </w:p>
          <w:p w:rsidR="002A38DA" w:rsidRPr="00F0481D" w:rsidRDefault="002A38DA" w:rsidP="002A38DA">
            <w:pPr>
              <w:pStyle w:val="Default"/>
              <w:rPr>
                <w:bCs/>
                <w:sz w:val="20"/>
                <w:szCs w:val="20"/>
              </w:rPr>
            </w:pPr>
          </w:p>
          <w:p w:rsidR="00A8778D" w:rsidRDefault="00F0481D" w:rsidP="00A8778D">
            <w:pPr>
              <w:pStyle w:val="Default"/>
              <w:numPr>
                <w:ilvl w:val="2"/>
                <w:numId w:val="6"/>
              </w:numPr>
              <w:rPr>
                <w:bCs/>
                <w:sz w:val="20"/>
                <w:szCs w:val="20"/>
              </w:rPr>
            </w:pPr>
            <w:r>
              <w:rPr>
                <w:bCs/>
                <w:sz w:val="20"/>
                <w:szCs w:val="20"/>
              </w:rPr>
              <w:t>The TB</w:t>
            </w:r>
            <w:r w:rsidR="002A38DA" w:rsidRPr="00F0481D">
              <w:rPr>
                <w:bCs/>
                <w:sz w:val="20"/>
                <w:szCs w:val="20"/>
              </w:rPr>
              <w:t xml:space="preserve"> service will provide support to pharmacists and review the </w:t>
            </w:r>
            <w:r w:rsidR="00371A40" w:rsidRPr="00F0481D">
              <w:rPr>
                <w:bCs/>
                <w:sz w:val="20"/>
                <w:szCs w:val="20"/>
              </w:rPr>
              <w:t>patient’s</w:t>
            </w:r>
            <w:r w:rsidR="002A38DA" w:rsidRPr="00F0481D">
              <w:rPr>
                <w:bCs/>
                <w:sz w:val="20"/>
                <w:szCs w:val="20"/>
              </w:rPr>
              <w:t xml:space="preserve"> progress with the pharmacy regularly and act as a point of contact for any concerns about the patient. </w:t>
            </w:r>
          </w:p>
          <w:p w:rsidR="00F0481D" w:rsidRPr="00F0481D" w:rsidRDefault="00F0481D" w:rsidP="00F0481D">
            <w:pPr>
              <w:pStyle w:val="Default"/>
              <w:rPr>
                <w:bCs/>
                <w:sz w:val="20"/>
                <w:szCs w:val="20"/>
              </w:rPr>
            </w:pPr>
          </w:p>
          <w:p w:rsidR="00A8778D" w:rsidRPr="00F0481D" w:rsidRDefault="00A8778D" w:rsidP="00A8778D">
            <w:pPr>
              <w:pStyle w:val="Default"/>
              <w:numPr>
                <w:ilvl w:val="2"/>
                <w:numId w:val="6"/>
              </w:numPr>
              <w:rPr>
                <w:bCs/>
                <w:sz w:val="20"/>
                <w:szCs w:val="20"/>
              </w:rPr>
            </w:pPr>
            <w:r w:rsidRPr="00F0481D">
              <w:rPr>
                <w:bCs/>
                <w:sz w:val="20"/>
                <w:szCs w:val="20"/>
              </w:rPr>
              <w:t>They will ensure that all staff working in the pharmacy are aware that they will be participating, and how the scheme will run.</w:t>
            </w:r>
          </w:p>
          <w:p w:rsidR="00637269" w:rsidRPr="00F0481D" w:rsidRDefault="00637269">
            <w:pPr>
              <w:spacing w:after="0"/>
              <w:rPr>
                <w:rFonts w:ascii="Arial" w:hAnsi="Arial" w:cs="Arial"/>
                <w:sz w:val="20"/>
              </w:rPr>
            </w:pPr>
          </w:p>
          <w:p w:rsidR="00535987" w:rsidRPr="00F0481D" w:rsidRDefault="00535987">
            <w:pPr>
              <w:spacing w:after="0"/>
              <w:rPr>
                <w:rFonts w:ascii="Arial" w:hAnsi="Arial" w:cs="Arial"/>
                <w:sz w:val="20"/>
              </w:rPr>
            </w:pPr>
          </w:p>
          <w:p w:rsidR="00637269" w:rsidRPr="00F0481D" w:rsidRDefault="008F5A7F">
            <w:pPr>
              <w:spacing w:after="0"/>
              <w:rPr>
                <w:rFonts w:ascii="Arial" w:hAnsi="Arial" w:cs="Arial"/>
                <w:b/>
                <w:sz w:val="20"/>
              </w:rPr>
            </w:pPr>
            <w:r w:rsidRPr="00F0481D">
              <w:rPr>
                <w:rFonts w:ascii="Arial" w:hAnsi="Arial" w:cs="Arial"/>
                <w:b/>
                <w:sz w:val="20"/>
              </w:rPr>
              <w:t>3.4</w:t>
            </w:r>
            <w:r w:rsidR="00637269" w:rsidRPr="00F0481D">
              <w:rPr>
                <w:rFonts w:ascii="Arial" w:hAnsi="Arial" w:cs="Arial"/>
                <w:b/>
                <w:sz w:val="20"/>
              </w:rPr>
              <w:tab/>
              <w:t>Population covered</w:t>
            </w:r>
          </w:p>
          <w:p w:rsidR="008F5A7F" w:rsidRPr="00F0481D" w:rsidRDefault="008F5A7F">
            <w:pPr>
              <w:spacing w:after="0"/>
              <w:rPr>
                <w:rFonts w:ascii="Arial" w:hAnsi="Arial" w:cs="Arial"/>
                <w:b/>
                <w:sz w:val="20"/>
              </w:rPr>
            </w:pPr>
          </w:p>
          <w:p w:rsidR="00A8778D" w:rsidRPr="00F0481D" w:rsidRDefault="00B5093D" w:rsidP="00A8778D">
            <w:pPr>
              <w:spacing w:after="0"/>
              <w:rPr>
                <w:rFonts w:ascii="Arial" w:hAnsi="Arial" w:cs="Arial"/>
                <w:sz w:val="20"/>
              </w:rPr>
            </w:pPr>
            <w:r w:rsidRPr="00F0481D">
              <w:rPr>
                <w:rFonts w:ascii="Arial" w:hAnsi="Arial" w:cs="Arial"/>
                <w:sz w:val="20"/>
              </w:rPr>
              <w:t>3.4.1</w:t>
            </w:r>
            <w:r w:rsidR="00F0481D">
              <w:rPr>
                <w:rFonts w:ascii="Arial" w:hAnsi="Arial" w:cs="Arial"/>
                <w:sz w:val="20"/>
              </w:rPr>
              <w:t xml:space="preserve">    </w:t>
            </w:r>
            <w:r w:rsidRPr="00F0481D">
              <w:rPr>
                <w:rFonts w:ascii="Arial" w:hAnsi="Arial" w:cs="Arial"/>
                <w:sz w:val="20"/>
              </w:rPr>
              <w:t xml:space="preserve"> Patients seen by</w:t>
            </w:r>
            <w:r w:rsidR="00CE2079" w:rsidRPr="00F0481D">
              <w:rPr>
                <w:rFonts w:ascii="Arial" w:hAnsi="Arial" w:cs="Arial"/>
                <w:sz w:val="20"/>
              </w:rPr>
              <w:t xml:space="preserve"> local specialist TB services</w:t>
            </w:r>
          </w:p>
          <w:p w:rsidR="00637269" w:rsidRPr="00F0481D" w:rsidRDefault="00637269">
            <w:pPr>
              <w:spacing w:after="0"/>
              <w:rPr>
                <w:rFonts w:ascii="Arial" w:hAnsi="Arial" w:cs="Arial"/>
                <w:sz w:val="20"/>
              </w:rPr>
            </w:pPr>
          </w:p>
          <w:p w:rsidR="00637269" w:rsidRPr="00F0481D" w:rsidRDefault="00637269">
            <w:pPr>
              <w:spacing w:after="0"/>
              <w:rPr>
                <w:rFonts w:ascii="Arial" w:hAnsi="Arial" w:cs="Arial"/>
                <w:b/>
                <w:sz w:val="20"/>
              </w:rPr>
            </w:pPr>
            <w:r w:rsidRPr="00F0481D">
              <w:rPr>
                <w:rFonts w:ascii="Arial" w:hAnsi="Arial" w:cs="Arial"/>
                <w:b/>
                <w:sz w:val="20"/>
              </w:rPr>
              <w:t>3.</w:t>
            </w:r>
            <w:r w:rsidR="008F5A7F" w:rsidRPr="00F0481D">
              <w:rPr>
                <w:rFonts w:ascii="Arial" w:hAnsi="Arial" w:cs="Arial"/>
                <w:b/>
                <w:sz w:val="20"/>
              </w:rPr>
              <w:t>5</w:t>
            </w:r>
            <w:r w:rsidRPr="00F0481D">
              <w:rPr>
                <w:rFonts w:ascii="Arial" w:hAnsi="Arial" w:cs="Arial"/>
                <w:b/>
                <w:sz w:val="20"/>
              </w:rPr>
              <w:tab/>
              <w:t>Any acceptance and exclusion criteria and thresholds</w:t>
            </w:r>
          </w:p>
          <w:p w:rsidR="008F5A7F" w:rsidRPr="00F0481D" w:rsidRDefault="008F5A7F">
            <w:pPr>
              <w:spacing w:after="0"/>
              <w:rPr>
                <w:rFonts w:ascii="Arial" w:hAnsi="Arial" w:cs="Arial"/>
                <w:b/>
                <w:sz w:val="20"/>
              </w:rPr>
            </w:pPr>
          </w:p>
          <w:p w:rsidR="00637269" w:rsidRPr="00F0481D" w:rsidRDefault="00A8778D">
            <w:pPr>
              <w:spacing w:after="0"/>
              <w:rPr>
                <w:rFonts w:ascii="Arial" w:hAnsi="Arial" w:cs="Arial"/>
                <w:sz w:val="20"/>
              </w:rPr>
            </w:pPr>
            <w:r w:rsidRPr="00F0481D">
              <w:rPr>
                <w:rFonts w:ascii="Arial" w:hAnsi="Arial" w:cs="Arial"/>
                <w:sz w:val="20"/>
              </w:rPr>
              <w:t>3.5.1 Only patients that are exempt from NHS prescription charges will be referred into this scheme using an FP10(HP) prescription</w:t>
            </w:r>
          </w:p>
          <w:p w:rsidR="00A8778D" w:rsidRPr="00F0481D" w:rsidRDefault="00A8778D">
            <w:pPr>
              <w:spacing w:after="0"/>
              <w:rPr>
                <w:rFonts w:ascii="Arial" w:hAnsi="Arial" w:cs="Arial"/>
                <w:sz w:val="20"/>
              </w:rPr>
            </w:pPr>
          </w:p>
          <w:p w:rsidR="00A8778D" w:rsidRPr="00F0481D" w:rsidRDefault="00A8778D">
            <w:pPr>
              <w:spacing w:after="0"/>
              <w:rPr>
                <w:rFonts w:ascii="Arial" w:hAnsi="Arial" w:cs="Arial"/>
                <w:sz w:val="20"/>
              </w:rPr>
            </w:pPr>
            <w:r w:rsidRPr="00F0481D">
              <w:rPr>
                <w:rFonts w:ascii="Arial" w:hAnsi="Arial" w:cs="Arial"/>
                <w:sz w:val="20"/>
              </w:rPr>
              <w:t>3.5.2 Any patient that is exempt from NHS prescription charges must be asked for proof of their exemption</w:t>
            </w:r>
            <w:r w:rsidR="00371A40" w:rsidRPr="00F0481D">
              <w:rPr>
                <w:rFonts w:ascii="Arial" w:hAnsi="Arial" w:cs="Arial"/>
                <w:sz w:val="20"/>
              </w:rPr>
              <w:t>, and sign the relevant form to state that they are exempt from charges. Proof of exemption is not mandatory, but it must be requested.</w:t>
            </w:r>
          </w:p>
          <w:p w:rsidR="00371A40" w:rsidRPr="00F0481D" w:rsidRDefault="00371A40">
            <w:pPr>
              <w:spacing w:after="0"/>
              <w:rPr>
                <w:rFonts w:ascii="Arial" w:hAnsi="Arial" w:cs="Arial"/>
                <w:sz w:val="20"/>
              </w:rPr>
            </w:pPr>
          </w:p>
          <w:p w:rsidR="00371A40" w:rsidRPr="00F0481D" w:rsidRDefault="00371A40">
            <w:pPr>
              <w:spacing w:after="0"/>
              <w:rPr>
                <w:rFonts w:ascii="Arial" w:hAnsi="Arial" w:cs="Arial"/>
                <w:sz w:val="20"/>
              </w:rPr>
            </w:pPr>
            <w:r w:rsidRPr="00F0481D">
              <w:rPr>
                <w:rFonts w:ascii="Arial" w:hAnsi="Arial" w:cs="Arial"/>
                <w:sz w:val="20"/>
              </w:rPr>
              <w:t>3.5.3 Any patient who would usually pay a prescription charge (i.e. not exempt) will be managed by specialised services and not referred into the scheme</w:t>
            </w:r>
          </w:p>
          <w:p w:rsidR="00371A40" w:rsidRPr="00F0481D" w:rsidRDefault="00371A40">
            <w:pPr>
              <w:spacing w:after="0"/>
              <w:rPr>
                <w:rFonts w:ascii="Arial" w:hAnsi="Arial" w:cs="Arial"/>
                <w:sz w:val="20"/>
              </w:rPr>
            </w:pPr>
          </w:p>
          <w:p w:rsidR="00A8778D" w:rsidRPr="00F0481D" w:rsidRDefault="00371A40">
            <w:pPr>
              <w:spacing w:after="0"/>
              <w:rPr>
                <w:rFonts w:ascii="Arial" w:hAnsi="Arial" w:cs="Arial"/>
                <w:sz w:val="20"/>
              </w:rPr>
            </w:pPr>
            <w:r w:rsidRPr="00F0481D">
              <w:rPr>
                <w:rFonts w:ascii="Arial" w:hAnsi="Arial" w:cs="Arial"/>
                <w:sz w:val="20"/>
              </w:rPr>
              <w:t xml:space="preserve">3.5.4 Pharmacy staff will submit a claim to </w:t>
            </w:r>
            <w:r w:rsidR="00E91E41">
              <w:rPr>
                <w:rFonts w:ascii="Arial" w:hAnsi="Arial" w:cs="Arial"/>
                <w:sz w:val="20"/>
              </w:rPr>
              <w:t>the commissioner</w:t>
            </w:r>
            <w:r w:rsidRPr="00F0481D">
              <w:rPr>
                <w:rFonts w:ascii="Arial" w:hAnsi="Arial" w:cs="Arial"/>
                <w:sz w:val="20"/>
              </w:rPr>
              <w:t xml:space="preserve"> via PharmOutcomes so that remuneration for the service can be provided</w:t>
            </w:r>
          </w:p>
          <w:p w:rsidR="00637269" w:rsidRDefault="00637269">
            <w:pPr>
              <w:spacing w:after="0"/>
              <w:rPr>
                <w:rFonts w:ascii="Arial" w:hAnsi="Arial" w:cs="Arial"/>
                <w:sz w:val="20"/>
              </w:rPr>
            </w:pPr>
          </w:p>
          <w:p w:rsidR="00535987" w:rsidRDefault="00535987">
            <w:pPr>
              <w:spacing w:after="0"/>
              <w:rPr>
                <w:rFonts w:ascii="Arial" w:hAnsi="Arial" w:cs="Arial"/>
                <w:sz w:val="20"/>
              </w:rPr>
            </w:pPr>
          </w:p>
        </w:tc>
      </w:tr>
      <w:tr w:rsidR="00637269" w:rsidTr="00637269">
        <w:tc>
          <w:tcPr>
            <w:tcW w:w="8414"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rPr>
            </w:pPr>
            <w:r>
              <w:rPr>
                <w:rFonts w:ascii="Arial" w:hAnsi="Arial" w:cs="Arial"/>
                <w:b/>
              </w:rPr>
              <w:lastRenderedPageBreak/>
              <w:t>4.</w:t>
            </w:r>
            <w:r>
              <w:rPr>
                <w:rFonts w:ascii="Arial" w:hAnsi="Arial" w:cs="Arial"/>
                <w:b/>
              </w:rPr>
              <w:tab/>
              <w:t>Applicable Service Standards</w:t>
            </w:r>
          </w:p>
        </w:tc>
      </w:tr>
      <w:tr w:rsidR="00637269" w:rsidTr="00637269">
        <w:tc>
          <w:tcPr>
            <w:tcW w:w="8414" w:type="dxa"/>
            <w:tcBorders>
              <w:top w:val="single" w:sz="4" w:space="0" w:color="auto"/>
              <w:left w:val="single" w:sz="4" w:space="0" w:color="auto"/>
              <w:bottom w:val="single" w:sz="4" w:space="0" w:color="auto"/>
              <w:right w:val="single" w:sz="4" w:space="0" w:color="auto"/>
            </w:tcBorders>
          </w:tcPr>
          <w:p w:rsidR="00637269" w:rsidRDefault="00637269">
            <w:pPr>
              <w:spacing w:after="0"/>
              <w:rPr>
                <w:rFonts w:ascii="Arial" w:hAnsi="Arial" w:cs="Arial"/>
                <w:sz w:val="20"/>
              </w:rPr>
            </w:pPr>
          </w:p>
          <w:p w:rsidR="00535987" w:rsidRPr="00535987" w:rsidRDefault="001C3BF0" w:rsidP="001C3BF0">
            <w:pPr>
              <w:spacing w:after="0"/>
              <w:rPr>
                <w:rFonts w:ascii="Arial" w:hAnsi="Arial" w:cs="Arial"/>
                <w:sz w:val="20"/>
              </w:rPr>
            </w:pPr>
            <w:r>
              <w:rPr>
                <w:rFonts w:ascii="Arial" w:hAnsi="Arial" w:cs="Arial"/>
                <w:sz w:val="20"/>
              </w:rPr>
              <w:t xml:space="preserve">PHE Collaborative Tuberculosis Strategy for England 2015 to 2020 </w:t>
            </w:r>
            <w:hyperlink r:id="rId10" w:history="1">
              <w:r w:rsidRPr="001C3BF0">
                <w:rPr>
                  <w:rStyle w:val="Hyperlink"/>
                  <w:rFonts w:ascii="Arial" w:hAnsi="Arial" w:cs="Arial"/>
                  <w:sz w:val="20"/>
                </w:rPr>
                <w:t>https://assets.publishing.service.gov.uk/government/uploads/system/uploads/attachment_data/file/403231/Collaborative_TB_Strategy_for_England_2015_2020_.pdf</w:t>
              </w:r>
            </w:hyperlink>
          </w:p>
          <w:p w:rsidR="00637269" w:rsidRDefault="00637269">
            <w:pPr>
              <w:spacing w:after="0"/>
              <w:rPr>
                <w:rFonts w:ascii="Arial" w:hAnsi="Arial" w:cs="Arial"/>
                <w:sz w:val="20"/>
              </w:rPr>
            </w:pPr>
          </w:p>
          <w:p w:rsidR="001C3BF0" w:rsidRDefault="001C3BF0">
            <w:pPr>
              <w:spacing w:after="0"/>
              <w:rPr>
                <w:rFonts w:ascii="Arial" w:hAnsi="Arial" w:cs="Arial"/>
                <w:sz w:val="20"/>
              </w:rPr>
            </w:pPr>
            <w:r>
              <w:rPr>
                <w:rFonts w:ascii="Arial" w:hAnsi="Arial" w:cs="Arial"/>
                <w:sz w:val="20"/>
              </w:rPr>
              <w:t xml:space="preserve">NICE Guidance NG33 Tuberculosis 2016 </w:t>
            </w:r>
            <w:hyperlink r:id="rId11" w:history="1">
              <w:r w:rsidRPr="001C3BF0">
                <w:rPr>
                  <w:rStyle w:val="Hyperlink"/>
                  <w:rFonts w:ascii="Arial" w:hAnsi="Arial" w:cs="Arial"/>
                  <w:sz w:val="20"/>
                </w:rPr>
                <w:t>https://www.nice.org.uk/guidance/ng33</w:t>
              </w:r>
            </w:hyperlink>
          </w:p>
          <w:p w:rsidR="001C3BF0" w:rsidRDefault="001C3BF0">
            <w:pPr>
              <w:spacing w:after="0"/>
              <w:rPr>
                <w:rFonts w:ascii="Arial" w:hAnsi="Arial" w:cs="Arial"/>
                <w:sz w:val="20"/>
              </w:rPr>
            </w:pPr>
          </w:p>
          <w:p w:rsidR="00637269" w:rsidRDefault="00637269">
            <w:pPr>
              <w:spacing w:after="0"/>
              <w:rPr>
                <w:rFonts w:ascii="Arial" w:hAnsi="Arial" w:cs="Arial"/>
                <w:sz w:val="20"/>
              </w:rPr>
            </w:pPr>
          </w:p>
        </w:tc>
      </w:tr>
      <w:tr w:rsidR="00637269" w:rsidTr="00637269">
        <w:tc>
          <w:tcPr>
            <w:tcW w:w="8414" w:type="dxa"/>
            <w:tcBorders>
              <w:top w:val="single" w:sz="4" w:space="0" w:color="auto"/>
              <w:left w:val="single" w:sz="4" w:space="0" w:color="auto"/>
              <w:bottom w:val="single" w:sz="4" w:space="0" w:color="auto"/>
              <w:right w:val="single" w:sz="4" w:space="0" w:color="auto"/>
            </w:tcBorders>
            <w:hideMark/>
          </w:tcPr>
          <w:p w:rsidR="00637269" w:rsidRDefault="00637269" w:rsidP="00535987">
            <w:pPr>
              <w:spacing w:after="0" w:line="276" w:lineRule="auto"/>
              <w:rPr>
                <w:rFonts w:ascii="Arial" w:hAnsi="Arial" w:cs="Arial"/>
                <w:b/>
              </w:rPr>
            </w:pPr>
            <w:r>
              <w:rPr>
                <w:rFonts w:ascii="Arial" w:hAnsi="Arial" w:cs="Arial"/>
                <w:b/>
              </w:rPr>
              <w:t>5.</w:t>
            </w:r>
            <w:r>
              <w:rPr>
                <w:rFonts w:ascii="Arial" w:hAnsi="Arial" w:cs="Arial"/>
                <w:b/>
              </w:rPr>
              <w:tab/>
            </w:r>
            <w:r w:rsidR="00535987">
              <w:rPr>
                <w:rFonts w:ascii="Arial" w:hAnsi="Arial" w:cs="Arial"/>
                <w:b/>
              </w:rPr>
              <w:t>Applicable quality requirements</w:t>
            </w:r>
          </w:p>
        </w:tc>
      </w:tr>
      <w:tr w:rsidR="00637269" w:rsidTr="00637269">
        <w:tc>
          <w:tcPr>
            <w:tcW w:w="8414" w:type="dxa"/>
            <w:tcBorders>
              <w:top w:val="single" w:sz="4" w:space="0" w:color="auto"/>
              <w:left w:val="single" w:sz="4" w:space="0" w:color="auto"/>
              <w:bottom w:val="single" w:sz="4" w:space="0" w:color="auto"/>
              <w:right w:val="single" w:sz="4" w:space="0" w:color="auto"/>
            </w:tcBorders>
          </w:tcPr>
          <w:p w:rsidR="00637269" w:rsidRDefault="00637269">
            <w:pPr>
              <w:spacing w:after="0"/>
              <w:rPr>
                <w:rFonts w:ascii="Arial" w:hAnsi="Arial" w:cs="Arial"/>
                <w:sz w:val="20"/>
              </w:rPr>
            </w:pPr>
          </w:p>
          <w:p w:rsidR="00535987" w:rsidRDefault="00637269" w:rsidP="00535987">
            <w:pPr>
              <w:pStyle w:val="ListParagraph"/>
              <w:numPr>
                <w:ilvl w:val="1"/>
                <w:numId w:val="3"/>
              </w:numPr>
              <w:ind w:left="743" w:hanging="743"/>
              <w:rPr>
                <w:rFonts w:ascii="Arial" w:hAnsi="Arial" w:cs="Arial"/>
                <w:b/>
                <w:sz w:val="20"/>
                <w:szCs w:val="20"/>
                <w:lang w:eastAsia="ja-JP"/>
              </w:rPr>
            </w:pPr>
            <w:r>
              <w:rPr>
                <w:rFonts w:ascii="Arial" w:hAnsi="Arial" w:cs="Arial"/>
                <w:b/>
                <w:sz w:val="20"/>
                <w:szCs w:val="20"/>
                <w:lang w:eastAsia="ja-JP"/>
              </w:rPr>
              <w:t>Applicable Quality Requirements (See Schedule 4A-C)</w:t>
            </w:r>
          </w:p>
          <w:p w:rsidR="00425064" w:rsidRPr="00425064" w:rsidRDefault="00425064" w:rsidP="00425064">
            <w:pPr>
              <w:pStyle w:val="ListParagraph"/>
              <w:ind w:left="743"/>
              <w:rPr>
                <w:rFonts w:ascii="Arial" w:hAnsi="Arial" w:cs="Arial"/>
                <w:b/>
                <w:sz w:val="20"/>
                <w:szCs w:val="20"/>
                <w:lang w:eastAsia="ja-JP"/>
              </w:rPr>
            </w:pPr>
          </w:p>
          <w:p w:rsidR="00E9004D" w:rsidRDefault="000E7B0E" w:rsidP="00DB25C5">
            <w:pPr>
              <w:ind w:left="720"/>
              <w:rPr>
                <w:rFonts w:ascii="Arial" w:hAnsi="Arial" w:cs="Arial"/>
                <w:sz w:val="20"/>
              </w:rPr>
            </w:pPr>
            <w:r w:rsidRPr="00E9004D">
              <w:rPr>
                <w:rFonts w:ascii="Arial" w:hAnsi="Arial" w:cs="Arial"/>
                <w:b/>
                <w:sz w:val="20"/>
              </w:rPr>
              <w:t>5.1.1</w:t>
            </w:r>
            <w:r w:rsidR="00535987" w:rsidRPr="00535987">
              <w:rPr>
                <w:rFonts w:ascii="Arial" w:hAnsi="Arial" w:cs="Arial"/>
                <w:sz w:val="20"/>
              </w:rPr>
              <w:t xml:space="preserve"> The pharmacy </w:t>
            </w:r>
            <w:r w:rsidR="00D74038">
              <w:rPr>
                <w:rFonts w:ascii="Arial" w:hAnsi="Arial" w:cs="Arial"/>
                <w:sz w:val="20"/>
              </w:rPr>
              <w:t xml:space="preserve">is happy to liaise with staff </w:t>
            </w:r>
            <w:r w:rsidR="00DB25C5">
              <w:rPr>
                <w:rFonts w:ascii="Arial" w:hAnsi="Arial" w:cs="Arial"/>
                <w:sz w:val="20"/>
              </w:rPr>
              <w:t>at specialist TB services</w:t>
            </w:r>
            <w:r w:rsidR="00D74038">
              <w:rPr>
                <w:rFonts w:ascii="Arial" w:hAnsi="Arial" w:cs="Arial"/>
                <w:sz w:val="20"/>
              </w:rPr>
              <w:t xml:space="preserve"> or BNSSG CCG to audit the service so that informed decisions can be made about how to improve it</w:t>
            </w:r>
          </w:p>
          <w:p w:rsidR="00E9004D" w:rsidRDefault="00E9004D" w:rsidP="00E9004D">
            <w:pPr>
              <w:pStyle w:val="ListParagraph"/>
              <w:numPr>
                <w:ilvl w:val="1"/>
                <w:numId w:val="3"/>
              </w:numPr>
              <w:ind w:left="743" w:hanging="743"/>
              <w:rPr>
                <w:rFonts w:ascii="Arial" w:hAnsi="Arial" w:cs="Arial"/>
                <w:b/>
                <w:sz w:val="20"/>
                <w:szCs w:val="20"/>
                <w:lang w:eastAsia="ja-JP"/>
              </w:rPr>
            </w:pPr>
            <w:r>
              <w:rPr>
                <w:rFonts w:ascii="Arial" w:hAnsi="Arial" w:cs="Arial"/>
                <w:b/>
                <w:sz w:val="20"/>
                <w:szCs w:val="20"/>
                <w:lang w:eastAsia="ja-JP"/>
              </w:rPr>
              <w:t>Clinical Incident Reporting</w:t>
            </w:r>
          </w:p>
          <w:p w:rsidR="00E9004D" w:rsidRDefault="00E9004D" w:rsidP="00E9004D">
            <w:pPr>
              <w:pStyle w:val="ListParagraph"/>
              <w:ind w:left="743"/>
              <w:rPr>
                <w:rFonts w:ascii="Arial" w:hAnsi="Arial" w:cs="Arial"/>
                <w:b/>
                <w:sz w:val="20"/>
                <w:szCs w:val="20"/>
                <w:lang w:eastAsia="ja-JP"/>
              </w:rPr>
            </w:pPr>
          </w:p>
          <w:p w:rsidR="00AD0448" w:rsidRPr="00AD0448" w:rsidRDefault="00E9004D" w:rsidP="00AD0448">
            <w:pPr>
              <w:ind w:left="720"/>
              <w:rPr>
                <w:rFonts w:ascii="Arial" w:hAnsi="Arial" w:cs="Arial"/>
                <w:sz w:val="20"/>
              </w:rPr>
            </w:pPr>
            <w:r w:rsidRPr="00E9004D">
              <w:rPr>
                <w:rFonts w:ascii="Arial" w:hAnsi="Arial" w:cs="Arial"/>
                <w:b/>
                <w:sz w:val="20"/>
              </w:rPr>
              <w:t>5.2.1</w:t>
            </w:r>
            <w:r w:rsidR="00535987" w:rsidRPr="00535987">
              <w:rPr>
                <w:rFonts w:ascii="Arial" w:hAnsi="Arial" w:cs="Arial"/>
                <w:sz w:val="20"/>
              </w:rPr>
              <w:t xml:space="preserve"> </w:t>
            </w:r>
            <w:r w:rsidR="00AD0448" w:rsidRPr="00AD0448">
              <w:rPr>
                <w:rFonts w:ascii="Arial" w:hAnsi="Arial" w:cs="Arial"/>
                <w:sz w:val="20"/>
              </w:rPr>
              <w:t xml:space="preserve">Contractors must feedback any adverse incidents that occur to the commissioner via PharmOutcomes, the BNSSG Datix system or directly via bnssg.pc.contracts@nhs.net  </w:t>
            </w:r>
          </w:p>
          <w:p w:rsidR="00535987" w:rsidRPr="00535987" w:rsidRDefault="0019559A" w:rsidP="00AD0448">
            <w:pPr>
              <w:ind w:left="720"/>
              <w:rPr>
                <w:rFonts w:ascii="Arial" w:hAnsi="Arial" w:cs="Arial"/>
                <w:sz w:val="20"/>
              </w:rPr>
            </w:pPr>
            <w:hyperlink r:id="rId12" w:history="1">
              <w:r w:rsidR="00AD0448" w:rsidRPr="008E50F6">
                <w:rPr>
                  <w:rStyle w:val="Hyperlink"/>
                  <w:rFonts w:ascii="Arial" w:hAnsi="Arial" w:cs="Arial"/>
                  <w:sz w:val="20"/>
                </w:rPr>
                <w:t>https://bnssg-datix.scwcsu.nhs.uk/</w:t>
              </w:r>
            </w:hyperlink>
            <w:r w:rsidR="00AD0448">
              <w:rPr>
                <w:rFonts w:ascii="Arial" w:hAnsi="Arial" w:cs="Arial"/>
                <w:sz w:val="20"/>
              </w:rPr>
              <w:t xml:space="preserve"> </w:t>
            </w:r>
          </w:p>
          <w:p w:rsidR="00535987" w:rsidRPr="00535987" w:rsidRDefault="00E9004D" w:rsidP="00E9004D">
            <w:pPr>
              <w:ind w:left="720"/>
              <w:rPr>
                <w:rFonts w:ascii="Arial" w:hAnsi="Arial" w:cs="Arial"/>
                <w:sz w:val="20"/>
              </w:rPr>
            </w:pPr>
            <w:r w:rsidRPr="00E9004D">
              <w:rPr>
                <w:rFonts w:ascii="Arial" w:hAnsi="Arial" w:cs="Arial"/>
                <w:b/>
                <w:sz w:val="20"/>
              </w:rPr>
              <w:t>5.2.2</w:t>
            </w:r>
            <w:r>
              <w:rPr>
                <w:rFonts w:ascii="Arial" w:hAnsi="Arial" w:cs="Arial"/>
                <w:sz w:val="20"/>
              </w:rPr>
              <w:t xml:space="preserve"> </w:t>
            </w:r>
            <w:r w:rsidR="00535987" w:rsidRPr="00535987">
              <w:rPr>
                <w:rFonts w:ascii="Arial" w:hAnsi="Arial" w:cs="Arial"/>
                <w:sz w:val="20"/>
              </w:rPr>
              <w:t xml:space="preserve"> Any serious incidents will be dealt with in accordance with the relevant </w:t>
            </w:r>
            <w:r w:rsidR="00AD0448">
              <w:rPr>
                <w:rFonts w:ascii="Arial" w:hAnsi="Arial" w:cs="Arial"/>
                <w:sz w:val="20"/>
              </w:rPr>
              <w:lastRenderedPageBreak/>
              <w:t>provider/commissioner policies</w:t>
            </w:r>
          </w:p>
          <w:p w:rsidR="00E9004D" w:rsidRDefault="00E9004D" w:rsidP="00D74038">
            <w:pPr>
              <w:rPr>
                <w:rFonts w:ascii="Arial" w:hAnsi="Arial" w:cs="Arial"/>
                <w:sz w:val="20"/>
                <w:u w:val="single"/>
              </w:rPr>
            </w:pPr>
          </w:p>
          <w:p w:rsidR="00DB25C5" w:rsidRDefault="00DB25C5" w:rsidP="00D74038">
            <w:pPr>
              <w:rPr>
                <w:rFonts w:ascii="Arial" w:hAnsi="Arial" w:cs="Arial"/>
                <w:sz w:val="20"/>
                <w:u w:val="single"/>
              </w:rPr>
            </w:pPr>
          </w:p>
          <w:p w:rsidR="00E9004D" w:rsidRDefault="00E9004D" w:rsidP="00E9004D">
            <w:pPr>
              <w:pStyle w:val="ListParagraph"/>
              <w:numPr>
                <w:ilvl w:val="1"/>
                <w:numId w:val="3"/>
              </w:numPr>
              <w:ind w:left="743" w:hanging="743"/>
              <w:rPr>
                <w:rFonts w:ascii="Arial" w:hAnsi="Arial" w:cs="Arial"/>
                <w:b/>
                <w:sz w:val="20"/>
                <w:szCs w:val="20"/>
                <w:lang w:eastAsia="ja-JP"/>
              </w:rPr>
            </w:pPr>
            <w:r>
              <w:rPr>
                <w:rFonts w:ascii="Arial" w:hAnsi="Arial" w:cs="Arial"/>
                <w:b/>
                <w:sz w:val="20"/>
                <w:szCs w:val="20"/>
                <w:lang w:eastAsia="ja-JP"/>
              </w:rPr>
              <w:t>Complaints Procedure</w:t>
            </w:r>
          </w:p>
          <w:p w:rsidR="00E9004D" w:rsidRPr="00E9004D" w:rsidRDefault="00E9004D" w:rsidP="00E9004D">
            <w:pPr>
              <w:pStyle w:val="ListParagraph"/>
              <w:ind w:left="743"/>
              <w:rPr>
                <w:rFonts w:ascii="Arial" w:hAnsi="Arial" w:cs="Arial"/>
                <w:b/>
                <w:sz w:val="20"/>
                <w:szCs w:val="20"/>
                <w:lang w:eastAsia="ja-JP"/>
              </w:rPr>
            </w:pPr>
          </w:p>
          <w:p w:rsidR="00E9004D" w:rsidRDefault="00E9004D" w:rsidP="00E9004D">
            <w:pPr>
              <w:pStyle w:val="ListParagraph"/>
              <w:rPr>
                <w:rFonts w:ascii="Arial" w:hAnsi="Arial" w:cs="Arial"/>
                <w:sz w:val="20"/>
              </w:rPr>
            </w:pPr>
            <w:r w:rsidRPr="00E9004D">
              <w:rPr>
                <w:rFonts w:ascii="Arial" w:hAnsi="Arial" w:cs="Arial"/>
                <w:b/>
                <w:sz w:val="20"/>
              </w:rPr>
              <w:t>5.3.1</w:t>
            </w:r>
            <w:r>
              <w:rPr>
                <w:rFonts w:ascii="Arial" w:hAnsi="Arial" w:cs="Arial"/>
                <w:sz w:val="20"/>
              </w:rPr>
              <w:t xml:space="preserve"> </w:t>
            </w:r>
            <w:r w:rsidR="00535987" w:rsidRPr="00E9004D">
              <w:rPr>
                <w:rFonts w:ascii="Arial" w:hAnsi="Arial" w:cs="Arial"/>
                <w:sz w:val="20"/>
              </w:rPr>
              <w:t xml:space="preserve">Any complaints from patients should be dealt with via the pharmacy’s own standard complaints procedure in the first instance. If the complaint is not resolved, the patient should direct their complaint to the </w:t>
            </w:r>
            <w:r w:rsidRPr="00E9004D">
              <w:rPr>
                <w:rFonts w:ascii="Arial" w:hAnsi="Arial" w:cs="Arial"/>
                <w:sz w:val="20"/>
              </w:rPr>
              <w:t>BNSSG CCG Customer Services Team</w:t>
            </w:r>
            <w:r>
              <w:rPr>
                <w:rFonts w:ascii="Arial" w:hAnsi="Arial" w:cs="Arial"/>
                <w:sz w:val="20"/>
              </w:rPr>
              <w:t>:</w:t>
            </w:r>
          </w:p>
          <w:p w:rsidR="00E9004D" w:rsidRPr="00E9004D" w:rsidRDefault="00E9004D" w:rsidP="00E9004D">
            <w:pPr>
              <w:pStyle w:val="ListParagraph"/>
              <w:rPr>
                <w:rFonts w:ascii="Arial" w:hAnsi="Arial" w:cs="Arial"/>
                <w:sz w:val="20"/>
              </w:rPr>
            </w:pPr>
          </w:p>
          <w:p w:rsidR="00E9004D" w:rsidRPr="00E9004D" w:rsidRDefault="00E9004D" w:rsidP="00E9004D">
            <w:pPr>
              <w:pStyle w:val="ListParagraph"/>
              <w:rPr>
                <w:rFonts w:ascii="Arial" w:hAnsi="Arial" w:cs="Arial"/>
                <w:sz w:val="20"/>
              </w:rPr>
            </w:pPr>
            <w:r w:rsidRPr="00E9004D">
              <w:rPr>
                <w:rFonts w:ascii="Arial" w:hAnsi="Arial" w:cs="Arial"/>
                <w:sz w:val="20"/>
              </w:rPr>
              <w:t xml:space="preserve">Tel: 0117 900 2655 or 0800 073 0907 </w:t>
            </w:r>
          </w:p>
          <w:p w:rsidR="00E9004D" w:rsidRPr="00E9004D" w:rsidRDefault="00E9004D" w:rsidP="00E9004D">
            <w:pPr>
              <w:pStyle w:val="ListParagraph"/>
              <w:rPr>
                <w:rFonts w:ascii="Arial" w:hAnsi="Arial" w:cs="Arial"/>
                <w:sz w:val="20"/>
              </w:rPr>
            </w:pPr>
          </w:p>
          <w:p w:rsidR="00E9004D" w:rsidRPr="00E9004D" w:rsidRDefault="00E9004D" w:rsidP="00E9004D">
            <w:pPr>
              <w:pStyle w:val="ListParagraph"/>
              <w:rPr>
                <w:rFonts w:ascii="Arial" w:hAnsi="Arial" w:cs="Arial"/>
                <w:sz w:val="20"/>
              </w:rPr>
            </w:pPr>
            <w:r w:rsidRPr="00E9004D">
              <w:rPr>
                <w:rFonts w:ascii="Arial" w:hAnsi="Arial" w:cs="Arial"/>
                <w:sz w:val="20"/>
              </w:rPr>
              <w:t>Email: bnssg.customerservice@nhs.net</w:t>
            </w:r>
          </w:p>
          <w:p w:rsidR="00E9004D" w:rsidRPr="00E9004D" w:rsidRDefault="00E9004D" w:rsidP="00E9004D">
            <w:pPr>
              <w:pStyle w:val="ListParagraph"/>
              <w:rPr>
                <w:rFonts w:ascii="Arial" w:hAnsi="Arial" w:cs="Arial"/>
                <w:sz w:val="20"/>
              </w:rPr>
            </w:pPr>
          </w:p>
          <w:p w:rsidR="00E9004D" w:rsidRPr="00E9004D" w:rsidRDefault="00E9004D" w:rsidP="00E9004D">
            <w:pPr>
              <w:pStyle w:val="ListParagraph"/>
              <w:rPr>
                <w:rFonts w:ascii="Arial" w:hAnsi="Arial" w:cs="Arial"/>
                <w:sz w:val="20"/>
              </w:rPr>
            </w:pPr>
            <w:r w:rsidRPr="00E9004D">
              <w:rPr>
                <w:rFonts w:ascii="Arial" w:hAnsi="Arial" w:cs="Arial"/>
                <w:sz w:val="20"/>
              </w:rPr>
              <w:t>Write to:</w:t>
            </w:r>
          </w:p>
          <w:p w:rsidR="00E9004D" w:rsidRPr="00E9004D" w:rsidRDefault="00E9004D" w:rsidP="00E9004D">
            <w:pPr>
              <w:pStyle w:val="ListParagraph"/>
              <w:rPr>
                <w:rFonts w:ascii="Arial" w:hAnsi="Arial" w:cs="Arial"/>
                <w:sz w:val="20"/>
              </w:rPr>
            </w:pPr>
            <w:r w:rsidRPr="00E9004D">
              <w:rPr>
                <w:rFonts w:ascii="Arial" w:hAnsi="Arial" w:cs="Arial"/>
                <w:sz w:val="20"/>
              </w:rPr>
              <w:t>Customer Services Team</w:t>
            </w:r>
          </w:p>
          <w:p w:rsidR="00E9004D" w:rsidRPr="00E9004D" w:rsidRDefault="00E9004D" w:rsidP="00E9004D">
            <w:pPr>
              <w:pStyle w:val="ListParagraph"/>
              <w:rPr>
                <w:rFonts w:ascii="Arial" w:hAnsi="Arial" w:cs="Arial"/>
                <w:sz w:val="20"/>
              </w:rPr>
            </w:pPr>
            <w:r w:rsidRPr="00E9004D">
              <w:rPr>
                <w:rFonts w:ascii="Arial" w:hAnsi="Arial" w:cs="Arial"/>
                <w:sz w:val="20"/>
              </w:rPr>
              <w:t>NHS Bristol, North Somerset and South Gloucestershire CCG</w:t>
            </w:r>
          </w:p>
          <w:p w:rsidR="00E9004D" w:rsidRPr="00E9004D" w:rsidRDefault="00E9004D" w:rsidP="00E9004D">
            <w:pPr>
              <w:pStyle w:val="ListParagraph"/>
              <w:rPr>
                <w:rFonts w:ascii="Arial" w:hAnsi="Arial" w:cs="Arial"/>
                <w:sz w:val="20"/>
              </w:rPr>
            </w:pPr>
            <w:r w:rsidRPr="00E9004D">
              <w:rPr>
                <w:rFonts w:ascii="Arial" w:hAnsi="Arial" w:cs="Arial"/>
                <w:sz w:val="20"/>
              </w:rPr>
              <w:t>South Plaza,</w:t>
            </w:r>
          </w:p>
          <w:p w:rsidR="00E9004D" w:rsidRPr="00E9004D" w:rsidRDefault="00E9004D" w:rsidP="00E9004D">
            <w:pPr>
              <w:pStyle w:val="ListParagraph"/>
              <w:rPr>
                <w:rFonts w:ascii="Arial" w:hAnsi="Arial" w:cs="Arial"/>
                <w:sz w:val="20"/>
              </w:rPr>
            </w:pPr>
            <w:r w:rsidRPr="00E9004D">
              <w:rPr>
                <w:rFonts w:ascii="Arial" w:hAnsi="Arial" w:cs="Arial"/>
                <w:sz w:val="20"/>
              </w:rPr>
              <w:t>Marlborough Street,</w:t>
            </w:r>
          </w:p>
          <w:p w:rsidR="00E9004D" w:rsidRPr="00E9004D" w:rsidRDefault="00E9004D" w:rsidP="00E9004D">
            <w:pPr>
              <w:pStyle w:val="ListParagraph"/>
              <w:rPr>
                <w:rFonts w:ascii="Arial" w:hAnsi="Arial" w:cs="Arial"/>
                <w:sz w:val="20"/>
              </w:rPr>
            </w:pPr>
            <w:r w:rsidRPr="00E9004D">
              <w:rPr>
                <w:rFonts w:ascii="Arial" w:hAnsi="Arial" w:cs="Arial"/>
                <w:sz w:val="20"/>
              </w:rPr>
              <w:t>Bristol,</w:t>
            </w:r>
          </w:p>
          <w:p w:rsidR="00E9004D" w:rsidRDefault="00E9004D" w:rsidP="00E9004D">
            <w:pPr>
              <w:pStyle w:val="ListParagraph"/>
              <w:rPr>
                <w:rFonts w:ascii="Arial" w:hAnsi="Arial" w:cs="Arial"/>
                <w:sz w:val="20"/>
              </w:rPr>
            </w:pPr>
            <w:r w:rsidRPr="00E9004D">
              <w:rPr>
                <w:rFonts w:ascii="Arial" w:hAnsi="Arial" w:cs="Arial"/>
                <w:sz w:val="20"/>
              </w:rPr>
              <w:t>BS1 3NX</w:t>
            </w:r>
          </w:p>
          <w:p w:rsidR="00E9004D" w:rsidRPr="00E9004D" w:rsidRDefault="00E9004D" w:rsidP="00E9004D">
            <w:pPr>
              <w:pStyle w:val="ListParagraph"/>
              <w:rPr>
                <w:rFonts w:ascii="Arial" w:hAnsi="Arial" w:cs="Arial"/>
                <w:sz w:val="20"/>
              </w:rPr>
            </w:pPr>
          </w:p>
          <w:p w:rsidR="00637269" w:rsidRDefault="00637269">
            <w:pPr>
              <w:spacing w:after="0"/>
              <w:rPr>
                <w:rFonts w:ascii="Arial" w:hAnsi="Arial" w:cs="Arial"/>
                <w:sz w:val="20"/>
              </w:rPr>
            </w:pPr>
          </w:p>
        </w:tc>
      </w:tr>
      <w:tr w:rsidR="00637269" w:rsidTr="00637269">
        <w:tc>
          <w:tcPr>
            <w:tcW w:w="8414" w:type="dxa"/>
            <w:tcBorders>
              <w:top w:val="single" w:sz="4" w:space="0" w:color="auto"/>
              <w:left w:val="single" w:sz="4" w:space="0" w:color="auto"/>
              <w:bottom w:val="single" w:sz="4" w:space="0" w:color="auto"/>
              <w:right w:val="single" w:sz="4" w:space="0" w:color="auto"/>
            </w:tcBorders>
            <w:hideMark/>
          </w:tcPr>
          <w:p w:rsidR="00637269" w:rsidRDefault="00637269">
            <w:pPr>
              <w:spacing w:after="0" w:line="276" w:lineRule="auto"/>
              <w:rPr>
                <w:rFonts w:ascii="Arial" w:hAnsi="Arial" w:cs="Arial"/>
                <w:b/>
              </w:rPr>
            </w:pPr>
            <w:r>
              <w:rPr>
                <w:rFonts w:ascii="Arial" w:hAnsi="Arial" w:cs="Arial"/>
                <w:b/>
              </w:rPr>
              <w:lastRenderedPageBreak/>
              <w:t>6.</w:t>
            </w:r>
            <w:r>
              <w:rPr>
                <w:rFonts w:ascii="Arial" w:hAnsi="Arial" w:cs="Arial"/>
                <w:b/>
              </w:rPr>
              <w:tab/>
              <w:t>Location of Provider Premises</w:t>
            </w:r>
          </w:p>
        </w:tc>
      </w:tr>
      <w:tr w:rsidR="00637269" w:rsidTr="00637269">
        <w:tc>
          <w:tcPr>
            <w:tcW w:w="8414" w:type="dxa"/>
            <w:tcBorders>
              <w:top w:val="single" w:sz="4" w:space="0" w:color="auto"/>
              <w:left w:val="single" w:sz="4" w:space="0" w:color="auto"/>
              <w:bottom w:val="single" w:sz="4" w:space="0" w:color="auto"/>
              <w:right w:val="single" w:sz="4" w:space="0" w:color="auto"/>
            </w:tcBorders>
          </w:tcPr>
          <w:p w:rsidR="00637269" w:rsidRDefault="00637269">
            <w:pPr>
              <w:spacing w:after="0"/>
              <w:rPr>
                <w:rFonts w:ascii="Arial" w:hAnsi="Arial" w:cs="Arial"/>
                <w:sz w:val="20"/>
              </w:rPr>
            </w:pPr>
          </w:p>
          <w:p w:rsidR="00637269" w:rsidRDefault="00637269">
            <w:pPr>
              <w:spacing w:after="0"/>
              <w:rPr>
                <w:rFonts w:ascii="Arial" w:hAnsi="Arial" w:cs="Arial"/>
                <w:b/>
                <w:sz w:val="20"/>
              </w:rPr>
            </w:pPr>
            <w:r>
              <w:rPr>
                <w:rFonts w:ascii="Arial" w:hAnsi="Arial" w:cs="Arial"/>
                <w:b/>
                <w:sz w:val="20"/>
              </w:rPr>
              <w:t>The Provider’s Premises are located at:</w:t>
            </w:r>
          </w:p>
          <w:p w:rsidR="00637269" w:rsidRDefault="00637269">
            <w:pPr>
              <w:spacing w:after="0"/>
              <w:rPr>
                <w:rFonts w:ascii="Arial" w:hAnsi="Arial" w:cs="Arial"/>
                <w:sz w:val="20"/>
              </w:rPr>
            </w:pPr>
          </w:p>
          <w:p w:rsidR="00FF4600" w:rsidRDefault="00FF4600">
            <w:pPr>
              <w:spacing w:after="0"/>
              <w:rPr>
                <w:rFonts w:ascii="Arial" w:hAnsi="Arial" w:cs="Arial"/>
                <w:sz w:val="20"/>
              </w:rPr>
            </w:pPr>
          </w:p>
          <w:p w:rsidR="00FF4600" w:rsidRDefault="00FF4600">
            <w:pPr>
              <w:spacing w:after="0"/>
              <w:rPr>
                <w:rFonts w:ascii="Arial" w:hAnsi="Arial" w:cs="Arial"/>
                <w:sz w:val="20"/>
              </w:rPr>
            </w:pPr>
          </w:p>
          <w:p w:rsidR="00FF4600" w:rsidRDefault="00FF4600">
            <w:pPr>
              <w:spacing w:after="0"/>
              <w:rPr>
                <w:rFonts w:ascii="Arial" w:hAnsi="Arial" w:cs="Arial"/>
                <w:sz w:val="20"/>
              </w:rPr>
            </w:pPr>
          </w:p>
          <w:p w:rsidR="00FF4600" w:rsidRDefault="00FF4600">
            <w:pPr>
              <w:spacing w:after="0"/>
              <w:rPr>
                <w:rFonts w:ascii="Arial" w:hAnsi="Arial" w:cs="Arial"/>
                <w:sz w:val="20"/>
              </w:rPr>
            </w:pPr>
          </w:p>
          <w:p w:rsidR="00FF4600" w:rsidRDefault="00FF4600">
            <w:pPr>
              <w:spacing w:after="0"/>
              <w:rPr>
                <w:rFonts w:ascii="Arial" w:hAnsi="Arial" w:cs="Arial"/>
                <w:sz w:val="20"/>
              </w:rPr>
            </w:pPr>
          </w:p>
          <w:p w:rsidR="00FF4600" w:rsidRDefault="00FF4600">
            <w:pPr>
              <w:spacing w:after="0"/>
              <w:rPr>
                <w:rFonts w:ascii="Arial" w:hAnsi="Arial" w:cs="Arial"/>
                <w:sz w:val="20"/>
              </w:rPr>
            </w:pPr>
          </w:p>
          <w:p w:rsidR="00637269" w:rsidRDefault="00637269">
            <w:pPr>
              <w:spacing w:after="0"/>
              <w:rPr>
                <w:rFonts w:ascii="Arial" w:hAnsi="Arial" w:cs="Arial"/>
                <w:sz w:val="20"/>
              </w:rPr>
            </w:pPr>
          </w:p>
        </w:tc>
      </w:tr>
    </w:tbl>
    <w:p w:rsidR="00DF2444" w:rsidRDefault="0019559A"/>
    <w:p w:rsidR="00E63583" w:rsidRDefault="00E63583"/>
    <w:p w:rsidR="00E63583" w:rsidRDefault="00E63583"/>
    <w:p w:rsidR="0023386A" w:rsidRPr="00E63583" w:rsidRDefault="0023386A">
      <w:pPr>
        <w:rPr>
          <w:rFonts w:ascii="Arial" w:hAnsi="Arial" w:cs="Arial"/>
          <w:sz w:val="22"/>
          <w:u w:val="single"/>
        </w:rPr>
      </w:pPr>
      <w:r w:rsidRPr="00E63583">
        <w:rPr>
          <w:rFonts w:ascii="Arial" w:hAnsi="Arial" w:cs="Arial"/>
          <w:sz w:val="22"/>
          <w:u w:val="single"/>
        </w:rPr>
        <w:t>Other local policies to note:</w:t>
      </w:r>
    </w:p>
    <w:p w:rsidR="0023386A" w:rsidRPr="00E63583" w:rsidRDefault="0023386A">
      <w:pPr>
        <w:rPr>
          <w:rFonts w:ascii="Arial" w:hAnsi="Arial" w:cs="Arial"/>
          <w:sz w:val="20"/>
        </w:rPr>
      </w:pPr>
      <w:r w:rsidRPr="00E63583">
        <w:rPr>
          <w:rFonts w:ascii="Arial" w:hAnsi="Arial" w:cs="Arial"/>
          <w:sz w:val="20"/>
        </w:rPr>
        <w:t xml:space="preserve">BNSSG CCG Adults and Children Safeguarding Policy </w:t>
      </w:r>
      <w:hyperlink r:id="rId13" w:history="1">
        <w:r w:rsidRPr="00E63583">
          <w:rPr>
            <w:rStyle w:val="Hyperlink"/>
            <w:rFonts w:ascii="Arial" w:hAnsi="Arial" w:cs="Arial"/>
            <w:sz w:val="20"/>
          </w:rPr>
          <w:t>https://bnssgccg.nhs.uk/library/adults-and-childrens-safeguarding-policy/</w:t>
        </w:r>
      </w:hyperlink>
    </w:p>
    <w:p w:rsidR="0023386A" w:rsidRPr="00E63583" w:rsidRDefault="0023386A">
      <w:pPr>
        <w:rPr>
          <w:rFonts w:ascii="Arial" w:hAnsi="Arial" w:cs="Arial"/>
          <w:sz w:val="20"/>
        </w:rPr>
      </w:pPr>
      <w:r w:rsidRPr="00E63583">
        <w:rPr>
          <w:rFonts w:ascii="Arial" w:hAnsi="Arial" w:cs="Arial"/>
          <w:sz w:val="20"/>
        </w:rPr>
        <w:t xml:space="preserve">BNSSG CCG Mental Capacity Act and Deprivation of Liberty Safeguards Policy </w:t>
      </w:r>
      <w:hyperlink r:id="rId14" w:history="1">
        <w:r w:rsidRPr="00E63583">
          <w:rPr>
            <w:rStyle w:val="Hyperlink"/>
            <w:rFonts w:ascii="Arial" w:hAnsi="Arial" w:cs="Arial"/>
            <w:sz w:val="20"/>
          </w:rPr>
          <w:t>https://bnssgccg.nhs.uk/library/mental-capacity-act-and-deprivation-liberty-safeguards-policy/</w:t>
        </w:r>
      </w:hyperlink>
    </w:p>
    <w:p w:rsidR="00D74038" w:rsidRDefault="00D74038">
      <w:pPr>
        <w:rPr>
          <w:rFonts w:ascii="Arial" w:hAnsi="Arial" w:cs="Arial"/>
          <w:sz w:val="20"/>
          <w:u w:val="single"/>
        </w:rPr>
      </w:pPr>
    </w:p>
    <w:p w:rsidR="00D74038" w:rsidRDefault="00D74038">
      <w:pPr>
        <w:rPr>
          <w:rFonts w:ascii="Arial" w:hAnsi="Arial" w:cs="Arial"/>
          <w:sz w:val="20"/>
          <w:u w:val="single"/>
        </w:rPr>
      </w:pPr>
    </w:p>
    <w:p w:rsidR="0023386A" w:rsidRDefault="0023386A">
      <w:pPr>
        <w:rPr>
          <w:rFonts w:ascii="Arial" w:hAnsi="Arial" w:cs="Arial"/>
          <w:sz w:val="20"/>
          <w:u w:val="single"/>
        </w:rPr>
      </w:pPr>
      <w:r w:rsidRPr="00E63583">
        <w:rPr>
          <w:rFonts w:ascii="Arial" w:hAnsi="Arial" w:cs="Arial"/>
          <w:sz w:val="20"/>
          <w:u w:val="single"/>
        </w:rPr>
        <w:t>Payment Schedule</w:t>
      </w:r>
    </w:p>
    <w:p w:rsidR="00D74038" w:rsidRDefault="00D74038">
      <w:pPr>
        <w:rPr>
          <w:rFonts w:ascii="Arial" w:hAnsi="Arial" w:cs="Arial"/>
          <w:sz w:val="20"/>
        </w:rPr>
      </w:pPr>
      <w:r w:rsidRPr="00D74038">
        <w:rPr>
          <w:rFonts w:ascii="Arial" w:hAnsi="Arial" w:cs="Arial"/>
          <w:sz w:val="20"/>
        </w:rPr>
        <w:t>BNSSG CCG</w:t>
      </w:r>
      <w:r>
        <w:rPr>
          <w:rFonts w:ascii="Arial" w:hAnsi="Arial" w:cs="Arial"/>
          <w:sz w:val="20"/>
        </w:rPr>
        <w:t xml:space="preserve"> will pay participating community pharmacies the following payments for the service provided</w:t>
      </w:r>
    </w:p>
    <w:p w:rsidR="00A711C0" w:rsidRDefault="007A3D86">
      <w:pPr>
        <w:rPr>
          <w:rFonts w:ascii="Arial" w:hAnsi="Arial" w:cs="Arial"/>
          <w:sz w:val="20"/>
        </w:rPr>
      </w:pPr>
      <w:r>
        <w:rPr>
          <w:rFonts w:ascii="Arial" w:hAnsi="Arial" w:cs="Arial"/>
          <w:sz w:val="20"/>
        </w:rPr>
        <w:lastRenderedPageBreak/>
        <w:t>A</w:t>
      </w:r>
      <w:r w:rsidR="00A711C0">
        <w:rPr>
          <w:rFonts w:ascii="Arial" w:hAnsi="Arial" w:cs="Arial"/>
          <w:sz w:val="20"/>
        </w:rPr>
        <w:t xml:space="preserve"> one off payment of £100 if there is service provision within the 12 month period to cover the cost of training, audit, signposting and data collection</w:t>
      </w:r>
      <w:r>
        <w:rPr>
          <w:rFonts w:ascii="Arial" w:hAnsi="Arial" w:cs="Arial"/>
          <w:sz w:val="20"/>
        </w:rPr>
        <w:t>.</w:t>
      </w:r>
    </w:p>
    <w:p w:rsidR="00A711C0" w:rsidRPr="00A711C0" w:rsidRDefault="00A711C0" w:rsidP="00A711C0">
      <w:pPr>
        <w:pStyle w:val="ListParagraph"/>
        <w:numPr>
          <w:ilvl w:val="0"/>
          <w:numId w:val="13"/>
        </w:numPr>
        <w:rPr>
          <w:rFonts w:ascii="Arial" w:hAnsi="Arial" w:cs="Arial"/>
          <w:sz w:val="20"/>
        </w:rPr>
      </w:pPr>
      <w:r w:rsidRPr="00A711C0">
        <w:rPr>
          <w:rFonts w:ascii="Arial" w:hAnsi="Arial" w:cs="Arial"/>
          <w:sz w:val="20"/>
        </w:rPr>
        <w:t>Daily dispensing fee of the medications required</w:t>
      </w:r>
    </w:p>
    <w:p w:rsidR="00A711C0" w:rsidRPr="00A711C0" w:rsidRDefault="00A711C0" w:rsidP="00A711C0">
      <w:pPr>
        <w:pStyle w:val="ListParagraph"/>
        <w:numPr>
          <w:ilvl w:val="1"/>
          <w:numId w:val="13"/>
        </w:numPr>
        <w:rPr>
          <w:rFonts w:ascii="Arial" w:hAnsi="Arial" w:cs="Arial"/>
          <w:sz w:val="20"/>
        </w:rPr>
      </w:pPr>
      <w:r w:rsidRPr="00A711C0">
        <w:rPr>
          <w:rFonts w:ascii="Arial" w:hAnsi="Arial" w:cs="Arial"/>
          <w:sz w:val="20"/>
        </w:rPr>
        <w:t>Dispensing fee</w:t>
      </w:r>
      <w:r w:rsidR="00B5093D">
        <w:rPr>
          <w:rFonts w:ascii="Arial" w:hAnsi="Arial" w:cs="Arial"/>
          <w:sz w:val="20"/>
        </w:rPr>
        <w:t xml:space="preserve"> including container and consumables £1 per medicine per day</w:t>
      </w:r>
    </w:p>
    <w:p w:rsidR="0023386A" w:rsidRPr="00A711C0" w:rsidRDefault="00A711C0" w:rsidP="00A711C0">
      <w:pPr>
        <w:pStyle w:val="ListParagraph"/>
        <w:numPr>
          <w:ilvl w:val="0"/>
          <w:numId w:val="14"/>
        </w:numPr>
        <w:rPr>
          <w:rFonts w:ascii="Arial" w:hAnsi="Arial" w:cs="Arial"/>
          <w:sz w:val="20"/>
        </w:rPr>
      </w:pPr>
      <w:r w:rsidRPr="00A711C0">
        <w:rPr>
          <w:rFonts w:ascii="Arial" w:hAnsi="Arial" w:cs="Arial"/>
          <w:sz w:val="20"/>
        </w:rPr>
        <w:t>Supervision of consumption will be paid at</w:t>
      </w:r>
    </w:p>
    <w:p w:rsidR="00A711C0" w:rsidRPr="00A711C0" w:rsidRDefault="00A711C0" w:rsidP="00A711C0">
      <w:pPr>
        <w:pStyle w:val="ListParagraph"/>
        <w:numPr>
          <w:ilvl w:val="1"/>
          <w:numId w:val="14"/>
        </w:numPr>
        <w:rPr>
          <w:rFonts w:ascii="Arial" w:hAnsi="Arial" w:cs="Arial"/>
          <w:sz w:val="20"/>
        </w:rPr>
      </w:pPr>
      <w:r w:rsidRPr="00A711C0">
        <w:rPr>
          <w:rFonts w:ascii="Arial" w:hAnsi="Arial" w:cs="Arial"/>
          <w:sz w:val="20"/>
        </w:rPr>
        <w:t>£5 per day in the initial phase (two months)</w:t>
      </w:r>
    </w:p>
    <w:p w:rsidR="00A711C0" w:rsidRPr="00A711C0" w:rsidRDefault="00A711C0" w:rsidP="00A711C0">
      <w:pPr>
        <w:pStyle w:val="ListParagraph"/>
        <w:numPr>
          <w:ilvl w:val="1"/>
          <w:numId w:val="14"/>
        </w:numPr>
        <w:rPr>
          <w:rFonts w:ascii="Arial" w:hAnsi="Arial" w:cs="Arial"/>
          <w:sz w:val="20"/>
        </w:rPr>
      </w:pPr>
      <w:r w:rsidRPr="00A711C0">
        <w:rPr>
          <w:rFonts w:ascii="Arial" w:hAnsi="Arial" w:cs="Arial"/>
          <w:sz w:val="20"/>
        </w:rPr>
        <w:t>£2.50 per day in the continuation phase (four months)</w:t>
      </w:r>
    </w:p>
    <w:p w:rsidR="00A711C0" w:rsidRPr="00A711C0" w:rsidRDefault="00A711C0" w:rsidP="00A711C0">
      <w:pPr>
        <w:pStyle w:val="ListParagraph"/>
        <w:numPr>
          <w:ilvl w:val="0"/>
          <w:numId w:val="15"/>
        </w:numPr>
        <w:rPr>
          <w:rFonts w:ascii="Arial" w:hAnsi="Arial" w:cs="Arial"/>
          <w:sz w:val="20"/>
        </w:rPr>
      </w:pPr>
      <w:r w:rsidRPr="00A711C0">
        <w:rPr>
          <w:rFonts w:ascii="Arial" w:hAnsi="Arial" w:cs="Arial"/>
          <w:sz w:val="20"/>
        </w:rPr>
        <w:t>Dispensing fees are payable 7 days per week</w:t>
      </w:r>
    </w:p>
    <w:p w:rsidR="00A711C0" w:rsidRDefault="00A711C0" w:rsidP="00A711C0">
      <w:pPr>
        <w:pStyle w:val="ListParagraph"/>
        <w:numPr>
          <w:ilvl w:val="0"/>
          <w:numId w:val="15"/>
        </w:numPr>
        <w:rPr>
          <w:rFonts w:ascii="Arial" w:hAnsi="Arial" w:cs="Arial"/>
          <w:sz w:val="20"/>
        </w:rPr>
      </w:pPr>
      <w:r w:rsidRPr="00A711C0">
        <w:rPr>
          <w:rFonts w:ascii="Arial" w:hAnsi="Arial" w:cs="Arial"/>
          <w:sz w:val="20"/>
        </w:rPr>
        <w:t>Supervision fees are payable 6 days per week</w:t>
      </w:r>
    </w:p>
    <w:p w:rsidR="00445FFF" w:rsidRPr="00A711C0" w:rsidRDefault="00445FFF" w:rsidP="00A711C0">
      <w:pPr>
        <w:pStyle w:val="ListParagraph"/>
        <w:numPr>
          <w:ilvl w:val="0"/>
          <w:numId w:val="15"/>
        </w:numPr>
        <w:rPr>
          <w:rFonts w:ascii="Arial" w:hAnsi="Arial" w:cs="Arial"/>
          <w:sz w:val="20"/>
        </w:rPr>
      </w:pPr>
      <w:r>
        <w:rPr>
          <w:rFonts w:ascii="Arial" w:hAnsi="Arial" w:cs="Arial"/>
          <w:sz w:val="20"/>
        </w:rPr>
        <w:t>Where pharmacies are closed on a Sunday, the patient will receive their Sunday dose to take away on Saturday (as well as their observed Saturday dose)</w:t>
      </w:r>
    </w:p>
    <w:p w:rsidR="00A711C0" w:rsidRDefault="00A711C0" w:rsidP="0023386A">
      <w:pPr>
        <w:rPr>
          <w:rFonts w:ascii="Arial" w:eastAsia="Times New Roman" w:hAnsi="Arial" w:cs="Arial"/>
          <w:sz w:val="20"/>
          <w:lang w:val="en-GB" w:eastAsia="en-GB"/>
        </w:rPr>
      </w:pPr>
    </w:p>
    <w:p w:rsidR="00A711C0" w:rsidRPr="00E63583" w:rsidRDefault="00A711C0" w:rsidP="0023386A">
      <w:pPr>
        <w:rPr>
          <w:rFonts w:ascii="Arial" w:hAnsi="Arial" w:cs="Arial"/>
          <w:sz w:val="20"/>
          <w:u w:val="single"/>
        </w:rPr>
      </w:pPr>
    </w:p>
    <w:p w:rsidR="0023386A" w:rsidRPr="00E63583" w:rsidRDefault="0023386A" w:rsidP="0023386A">
      <w:pPr>
        <w:rPr>
          <w:rFonts w:ascii="Arial" w:hAnsi="Arial" w:cs="Arial"/>
          <w:sz w:val="22"/>
          <w:u w:val="single"/>
        </w:rPr>
      </w:pPr>
      <w:r w:rsidRPr="00E63583">
        <w:rPr>
          <w:rFonts w:ascii="Arial" w:hAnsi="Arial" w:cs="Arial"/>
          <w:sz w:val="22"/>
          <w:u w:val="single"/>
        </w:rPr>
        <w:t>Invoicing</w:t>
      </w:r>
    </w:p>
    <w:p w:rsidR="00714CB5" w:rsidRDefault="0023386A" w:rsidP="0023386A">
      <w:pPr>
        <w:rPr>
          <w:rFonts w:ascii="Arial" w:hAnsi="Arial" w:cs="Arial"/>
          <w:sz w:val="20"/>
        </w:rPr>
      </w:pPr>
      <w:r w:rsidRPr="00E63583">
        <w:rPr>
          <w:rFonts w:ascii="Arial" w:hAnsi="Arial" w:cs="Arial"/>
          <w:sz w:val="20"/>
        </w:rPr>
        <w:t>Pharmacies must complete a PharmOutcomes Emergency Supply Service template for each supply. A monthly invoice will be generated automatically and sent to BNSSG CCG each calendar month (in arrears), checked and then submitted for payment</w:t>
      </w:r>
      <w:r w:rsidR="00E50C73" w:rsidRPr="00E63583">
        <w:rPr>
          <w:rFonts w:ascii="Arial" w:hAnsi="Arial" w:cs="Arial"/>
          <w:sz w:val="20"/>
        </w:rPr>
        <w:t>. Claims for payment</w:t>
      </w:r>
      <w:r w:rsidR="00FF4600">
        <w:rPr>
          <w:rFonts w:ascii="Arial" w:hAnsi="Arial" w:cs="Arial"/>
          <w:sz w:val="20"/>
        </w:rPr>
        <w:t xml:space="preserve"> should only be mad</w:t>
      </w:r>
      <w:r w:rsidR="00E50C73" w:rsidRPr="00E63583">
        <w:rPr>
          <w:rFonts w:ascii="Arial" w:hAnsi="Arial" w:cs="Arial"/>
          <w:sz w:val="20"/>
        </w:rPr>
        <w:t>e through PharmOutcomes</w:t>
      </w:r>
      <w:r w:rsidR="00714CB5">
        <w:rPr>
          <w:rFonts w:ascii="Arial" w:hAnsi="Arial" w:cs="Arial"/>
          <w:sz w:val="20"/>
        </w:rPr>
        <w:t xml:space="preserve"> unless otherwise advised.</w:t>
      </w:r>
    </w:p>
    <w:p w:rsidR="00714CB5" w:rsidRDefault="00714CB5" w:rsidP="00714CB5">
      <w:pPr>
        <w:spacing w:after="160" w:line="259" w:lineRule="auto"/>
        <w:rPr>
          <w:rFonts w:ascii="Arial" w:hAnsi="Arial" w:cs="Arial"/>
          <w:sz w:val="20"/>
        </w:rPr>
        <w:sectPr w:rsidR="00714CB5">
          <w:headerReference w:type="default" r:id="rId15"/>
          <w:pgSz w:w="11906" w:h="16838"/>
          <w:pgMar w:top="1440" w:right="1440" w:bottom="1440" w:left="1440" w:header="708" w:footer="708" w:gutter="0"/>
          <w:cols w:space="708"/>
          <w:docGrid w:linePitch="360"/>
        </w:sectPr>
      </w:pPr>
    </w:p>
    <w:p w:rsidR="00714CB5" w:rsidRPr="00714CB5" w:rsidRDefault="00714CB5" w:rsidP="0023386A">
      <w:pPr>
        <w:rPr>
          <w:rFonts w:ascii="Arial" w:hAnsi="Arial" w:cs="Arial"/>
          <w:sz w:val="22"/>
          <w:u w:val="single"/>
        </w:rPr>
      </w:pPr>
      <w:r w:rsidRPr="00714CB5">
        <w:rPr>
          <w:rFonts w:ascii="Arial" w:hAnsi="Arial" w:cs="Arial"/>
          <w:sz w:val="22"/>
          <w:u w:val="single"/>
        </w:rPr>
        <w:lastRenderedPageBreak/>
        <w:t>Quality Requirements</w:t>
      </w:r>
    </w:p>
    <w:tbl>
      <w:tblPr>
        <w:tblStyle w:val="TableGrid"/>
        <w:tblW w:w="0" w:type="auto"/>
        <w:tblInd w:w="0" w:type="dxa"/>
        <w:tblLook w:val="04A0" w:firstRow="1" w:lastRow="0" w:firstColumn="1" w:lastColumn="0" w:noHBand="0" w:noVBand="1"/>
      </w:tblPr>
      <w:tblGrid>
        <w:gridCol w:w="4077"/>
        <w:gridCol w:w="1560"/>
        <w:gridCol w:w="2693"/>
        <w:gridCol w:w="2693"/>
        <w:gridCol w:w="2977"/>
      </w:tblGrid>
      <w:tr w:rsidR="00064DF2" w:rsidRPr="00DD18EF" w:rsidTr="00DD18EF">
        <w:tc>
          <w:tcPr>
            <w:tcW w:w="4077" w:type="dxa"/>
          </w:tcPr>
          <w:p w:rsidR="00064DF2" w:rsidRPr="00DD18EF" w:rsidRDefault="00064DF2" w:rsidP="0023386A">
            <w:pPr>
              <w:rPr>
                <w:rFonts w:ascii="Arial" w:hAnsi="Arial" w:cs="Arial"/>
                <w:sz w:val="20"/>
                <w:u w:val="single"/>
              </w:rPr>
            </w:pPr>
            <w:r w:rsidRPr="00DD18EF">
              <w:rPr>
                <w:rFonts w:ascii="Arial" w:hAnsi="Arial" w:cs="Arial"/>
                <w:sz w:val="20"/>
                <w:u w:val="single"/>
              </w:rPr>
              <w:t>Quality Requirement</w:t>
            </w:r>
          </w:p>
        </w:tc>
        <w:tc>
          <w:tcPr>
            <w:tcW w:w="1560" w:type="dxa"/>
          </w:tcPr>
          <w:p w:rsidR="00064DF2" w:rsidRPr="00DD18EF" w:rsidRDefault="00064DF2" w:rsidP="0023386A">
            <w:pPr>
              <w:rPr>
                <w:rFonts w:ascii="Arial" w:hAnsi="Arial" w:cs="Arial"/>
                <w:sz w:val="20"/>
                <w:u w:val="single"/>
              </w:rPr>
            </w:pPr>
            <w:r w:rsidRPr="00DD18EF">
              <w:rPr>
                <w:rFonts w:ascii="Arial" w:hAnsi="Arial" w:cs="Arial"/>
                <w:sz w:val="20"/>
                <w:u w:val="single"/>
              </w:rPr>
              <w:t>Threshold</w:t>
            </w:r>
          </w:p>
        </w:tc>
        <w:tc>
          <w:tcPr>
            <w:tcW w:w="2693" w:type="dxa"/>
          </w:tcPr>
          <w:p w:rsidR="00064DF2" w:rsidRPr="00DD18EF" w:rsidRDefault="00064DF2" w:rsidP="0023386A">
            <w:pPr>
              <w:rPr>
                <w:rFonts w:ascii="Arial" w:hAnsi="Arial" w:cs="Arial"/>
                <w:sz w:val="20"/>
                <w:u w:val="single"/>
              </w:rPr>
            </w:pPr>
            <w:r w:rsidRPr="00DD18EF">
              <w:rPr>
                <w:rFonts w:ascii="Arial" w:hAnsi="Arial" w:cs="Arial"/>
                <w:sz w:val="20"/>
                <w:u w:val="single"/>
              </w:rPr>
              <w:t>Method of Measurement</w:t>
            </w:r>
          </w:p>
        </w:tc>
        <w:tc>
          <w:tcPr>
            <w:tcW w:w="2693" w:type="dxa"/>
          </w:tcPr>
          <w:p w:rsidR="00064DF2" w:rsidRPr="00DD18EF" w:rsidRDefault="00064DF2" w:rsidP="0023386A">
            <w:pPr>
              <w:rPr>
                <w:rFonts w:ascii="Arial" w:hAnsi="Arial" w:cs="Arial"/>
                <w:sz w:val="20"/>
                <w:u w:val="single"/>
              </w:rPr>
            </w:pPr>
            <w:r w:rsidRPr="00DD18EF">
              <w:rPr>
                <w:rFonts w:ascii="Arial" w:hAnsi="Arial" w:cs="Arial"/>
                <w:sz w:val="20"/>
                <w:u w:val="single"/>
              </w:rPr>
              <w:t>Consequence of Breach</w:t>
            </w:r>
          </w:p>
        </w:tc>
        <w:tc>
          <w:tcPr>
            <w:tcW w:w="2977" w:type="dxa"/>
          </w:tcPr>
          <w:p w:rsidR="00064DF2" w:rsidRPr="00DD18EF" w:rsidRDefault="00064DF2" w:rsidP="0023386A">
            <w:pPr>
              <w:rPr>
                <w:rFonts w:ascii="Arial" w:hAnsi="Arial" w:cs="Arial"/>
                <w:sz w:val="20"/>
                <w:u w:val="single"/>
              </w:rPr>
            </w:pPr>
            <w:r w:rsidRPr="00DD18EF">
              <w:rPr>
                <w:rFonts w:ascii="Arial" w:hAnsi="Arial" w:cs="Arial"/>
                <w:sz w:val="20"/>
                <w:u w:val="single"/>
              </w:rPr>
              <w:t>Timing of application of consequence</w:t>
            </w:r>
          </w:p>
        </w:tc>
      </w:tr>
      <w:tr w:rsidR="00DB633B" w:rsidRPr="00DD18EF" w:rsidTr="00DD18EF">
        <w:trPr>
          <w:trHeight w:val="1368"/>
        </w:trPr>
        <w:tc>
          <w:tcPr>
            <w:tcW w:w="4077" w:type="dxa"/>
          </w:tcPr>
          <w:p w:rsidR="00DB633B" w:rsidRPr="00DD18EF" w:rsidRDefault="00DB633B" w:rsidP="00DB633B">
            <w:pPr>
              <w:rPr>
                <w:rFonts w:ascii="Arial" w:hAnsi="Arial" w:cs="Arial"/>
                <w:sz w:val="20"/>
              </w:rPr>
            </w:pPr>
            <w:r w:rsidRPr="00DD18EF">
              <w:rPr>
                <w:rFonts w:ascii="Arial" w:hAnsi="Arial" w:cs="Arial"/>
                <w:sz w:val="20"/>
              </w:rPr>
              <w:t xml:space="preserve">All patients </w:t>
            </w:r>
            <w:r>
              <w:rPr>
                <w:rFonts w:ascii="Arial" w:hAnsi="Arial" w:cs="Arial"/>
                <w:sz w:val="20"/>
              </w:rPr>
              <w:t>referred to the pharmacy staff are either accepted onto the scheme, or where this is not possible, a prompt response is given that the referral has been declined.</w:t>
            </w:r>
          </w:p>
        </w:tc>
        <w:tc>
          <w:tcPr>
            <w:tcW w:w="1560" w:type="dxa"/>
            <w:vMerge w:val="restart"/>
          </w:tcPr>
          <w:p w:rsidR="00DB633B" w:rsidRPr="00DD18EF" w:rsidRDefault="00DB633B" w:rsidP="0023386A">
            <w:pPr>
              <w:rPr>
                <w:rFonts w:ascii="Arial" w:hAnsi="Arial" w:cs="Arial"/>
                <w:sz w:val="20"/>
              </w:rPr>
            </w:pPr>
            <w:r w:rsidRPr="00DD18EF">
              <w:rPr>
                <w:rFonts w:ascii="Arial" w:hAnsi="Arial" w:cs="Arial"/>
                <w:sz w:val="20"/>
              </w:rPr>
              <w:t>100%</w:t>
            </w:r>
          </w:p>
        </w:tc>
        <w:tc>
          <w:tcPr>
            <w:tcW w:w="2693" w:type="dxa"/>
            <w:vMerge w:val="restart"/>
          </w:tcPr>
          <w:p w:rsidR="00DB633B" w:rsidRPr="00DD18EF" w:rsidRDefault="00DB633B" w:rsidP="0023386A">
            <w:pPr>
              <w:rPr>
                <w:rFonts w:ascii="Arial" w:hAnsi="Arial" w:cs="Arial"/>
                <w:sz w:val="20"/>
              </w:rPr>
            </w:pPr>
            <w:r w:rsidRPr="00DD18EF">
              <w:rPr>
                <w:rFonts w:ascii="Arial" w:hAnsi="Arial" w:cs="Arial"/>
                <w:sz w:val="20"/>
              </w:rPr>
              <w:t>Patient feedback</w:t>
            </w:r>
          </w:p>
          <w:p w:rsidR="00DB633B" w:rsidRPr="00DD18EF" w:rsidRDefault="00DB633B" w:rsidP="0023386A">
            <w:pPr>
              <w:rPr>
                <w:rFonts w:ascii="Arial" w:hAnsi="Arial" w:cs="Arial"/>
                <w:sz w:val="20"/>
              </w:rPr>
            </w:pPr>
            <w:r w:rsidRPr="00DD18EF">
              <w:rPr>
                <w:rFonts w:ascii="Arial" w:hAnsi="Arial" w:cs="Arial"/>
                <w:sz w:val="20"/>
              </w:rPr>
              <w:t>Provider feedback</w:t>
            </w:r>
          </w:p>
        </w:tc>
        <w:tc>
          <w:tcPr>
            <w:tcW w:w="2693" w:type="dxa"/>
            <w:vMerge w:val="restart"/>
          </w:tcPr>
          <w:p w:rsidR="00DB633B" w:rsidRDefault="00DB633B" w:rsidP="0023386A">
            <w:pPr>
              <w:rPr>
                <w:rFonts w:ascii="Arial" w:hAnsi="Arial" w:cs="Arial"/>
                <w:sz w:val="20"/>
              </w:rPr>
            </w:pPr>
            <w:r w:rsidRPr="00DD18EF">
              <w:rPr>
                <w:rFonts w:ascii="Arial" w:hAnsi="Arial" w:cs="Arial"/>
                <w:sz w:val="20"/>
              </w:rPr>
              <w:t>Discussion with pharmacy manager</w:t>
            </w:r>
          </w:p>
          <w:p w:rsidR="00DB633B" w:rsidRDefault="00DB633B" w:rsidP="0023386A">
            <w:pPr>
              <w:rPr>
                <w:rFonts w:ascii="Arial" w:hAnsi="Arial" w:cs="Arial"/>
                <w:sz w:val="20"/>
              </w:rPr>
            </w:pPr>
            <w:r>
              <w:rPr>
                <w:rFonts w:ascii="Arial" w:hAnsi="Arial" w:cs="Arial"/>
                <w:sz w:val="20"/>
              </w:rPr>
              <w:t>Escalation to area manager or other contractor representative if necessary</w:t>
            </w:r>
          </w:p>
          <w:p w:rsidR="00DB633B" w:rsidRDefault="00DB633B" w:rsidP="0023386A">
            <w:pPr>
              <w:rPr>
                <w:rFonts w:ascii="Arial" w:hAnsi="Arial" w:cs="Arial"/>
                <w:sz w:val="20"/>
              </w:rPr>
            </w:pPr>
            <w:r>
              <w:rPr>
                <w:rFonts w:ascii="Arial" w:hAnsi="Arial" w:cs="Arial"/>
                <w:sz w:val="20"/>
              </w:rPr>
              <w:t>Escalated to superintendent pharmacist if necessary</w:t>
            </w:r>
          </w:p>
          <w:p w:rsidR="00DB633B" w:rsidRPr="00DD18EF" w:rsidRDefault="00DB633B" w:rsidP="0023386A">
            <w:pPr>
              <w:rPr>
                <w:rFonts w:ascii="Arial" w:hAnsi="Arial" w:cs="Arial"/>
                <w:sz w:val="20"/>
              </w:rPr>
            </w:pPr>
            <w:r>
              <w:rPr>
                <w:rFonts w:ascii="Arial" w:hAnsi="Arial" w:cs="Arial"/>
                <w:sz w:val="20"/>
              </w:rPr>
              <w:t>Contract terminated if necessary (in the case of repeated breaches)</w:t>
            </w:r>
          </w:p>
        </w:tc>
        <w:tc>
          <w:tcPr>
            <w:tcW w:w="2977" w:type="dxa"/>
            <w:vMerge w:val="restart"/>
          </w:tcPr>
          <w:p w:rsidR="00DB633B" w:rsidRDefault="00DB633B" w:rsidP="0023386A">
            <w:pPr>
              <w:rPr>
                <w:rFonts w:ascii="Arial" w:hAnsi="Arial" w:cs="Arial"/>
                <w:sz w:val="20"/>
              </w:rPr>
            </w:pPr>
            <w:r w:rsidRPr="00DD18EF">
              <w:rPr>
                <w:rFonts w:ascii="Arial" w:hAnsi="Arial" w:cs="Arial"/>
                <w:sz w:val="20"/>
              </w:rPr>
              <w:t>Within one week</w:t>
            </w:r>
          </w:p>
          <w:p w:rsidR="00DB633B" w:rsidRDefault="00DB633B" w:rsidP="0023386A">
            <w:pPr>
              <w:rPr>
                <w:rFonts w:ascii="Arial" w:hAnsi="Arial" w:cs="Arial"/>
                <w:sz w:val="20"/>
              </w:rPr>
            </w:pPr>
          </w:p>
          <w:p w:rsidR="00DB633B" w:rsidRDefault="00DB633B" w:rsidP="0023386A">
            <w:pPr>
              <w:rPr>
                <w:rFonts w:ascii="Arial" w:hAnsi="Arial" w:cs="Arial"/>
                <w:sz w:val="20"/>
              </w:rPr>
            </w:pPr>
            <w:r>
              <w:rPr>
                <w:rFonts w:ascii="Arial" w:hAnsi="Arial" w:cs="Arial"/>
                <w:sz w:val="20"/>
              </w:rPr>
              <w:t>Within two weeks</w:t>
            </w:r>
          </w:p>
          <w:p w:rsidR="00DB633B" w:rsidRDefault="00DB633B" w:rsidP="0023386A">
            <w:pPr>
              <w:rPr>
                <w:rFonts w:ascii="Arial" w:hAnsi="Arial" w:cs="Arial"/>
                <w:sz w:val="20"/>
              </w:rPr>
            </w:pPr>
          </w:p>
          <w:p w:rsidR="00DB633B" w:rsidRDefault="00DB633B" w:rsidP="0023386A">
            <w:pPr>
              <w:rPr>
                <w:rFonts w:ascii="Arial" w:hAnsi="Arial" w:cs="Arial"/>
                <w:sz w:val="20"/>
              </w:rPr>
            </w:pPr>
            <w:r>
              <w:rPr>
                <w:rFonts w:ascii="Arial" w:hAnsi="Arial" w:cs="Arial"/>
                <w:sz w:val="20"/>
              </w:rPr>
              <w:t>Within one month</w:t>
            </w:r>
          </w:p>
          <w:p w:rsidR="00DB633B" w:rsidRDefault="00DB633B" w:rsidP="0023386A">
            <w:pPr>
              <w:rPr>
                <w:rFonts w:ascii="Arial" w:hAnsi="Arial" w:cs="Arial"/>
                <w:sz w:val="20"/>
              </w:rPr>
            </w:pPr>
          </w:p>
          <w:p w:rsidR="00DB633B" w:rsidRPr="00DD18EF" w:rsidRDefault="00DB633B" w:rsidP="0023386A">
            <w:pPr>
              <w:rPr>
                <w:rFonts w:ascii="Arial" w:hAnsi="Arial" w:cs="Arial"/>
                <w:sz w:val="20"/>
              </w:rPr>
            </w:pPr>
            <w:r>
              <w:rPr>
                <w:rFonts w:ascii="Arial" w:hAnsi="Arial" w:cs="Arial"/>
                <w:sz w:val="20"/>
              </w:rPr>
              <w:t>Within three months</w:t>
            </w:r>
          </w:p>
        </w:tc>
      </w:tr>
      <w:tr w:rsidR="00DB633B" w:rsidRPr="00DD18EF" w:rsidTr="00DD18EF">
        <w:tc>
          <w:tcPr>
            <w:tcW w:w="4077" w:type="dxa"/>
          </w:tcPr>
          <w:p w:rsidR="00DB633B" w:rsidRPr="00DD18EF" w:rsidRDefault="00DB633B" w:rsidP="0023386A">
            <w:pPr>
              <w:rPr>
                <w:rFonts w:ascii="Arial" w:hAnsi="Arial" w:cs="Arial"/>
                <w:sz w:val="20"/>
              </w:rPr>
            </w:pPr>
            <w:r>
              <w:rPr>
                <w:rFonts w:ascii="Arial" w:hAnsi="Arial" w:cs="Arial"/>
                <w:sz w:val="20"/>
              </w:rPr>
              <w:t>All pharmacies that provide this service attend the relevant training sessions</w:t>
            </w:r>
          </w:p>
        </w:tc>
        <w:tc>
          <w:tcPr>
            <w:tcW w:w="1560" w:type="dxa"/>
            <w:vMerge/>
          </w:tcPr>
          <w:p w:rsidR="00DB633B" w:rsidRPr="00DD18EF" w:rsidRDefault="00DB633B" w:rsidP="0023386A">
            <w:pPr>
              <w:rPr>
                <w:rFonts w:ascii="Arial" w:hAnsi="Arial" w:cs="Arial"/>
                <w:sz w:val="20"/>
              </w:rPr>
            </w:pPr>
          </w:p>
        </w:tc>
        <w:tc>
          <w:tcPr>
            <w:tcW w:w="2693" w:type="dxa"/>
            <w:vMerge/>
          </w:tcPr>
          <w:p w:rsidR="00DB633B" w:rsidRPr="00DD18EF" w:rsidRDefault="00DB633B" w:rsidP="0023386A">
            <w:pPr>
              <w:rPr>
                <w:rFonts w:ascii="Arial" w:hAnsi="Arial" w:cs="Arial"/>
                <w:sz w:val="20"/>
              </w:rPr>
            </w:pPr>
          </w:p>
        </w:tc>
        <w:tc>
          <w:tcPr>
            <w:tcW w:w="2693" w:type="dxa"/>
            <w:vMerge/>
          </w:tcPr>
          <w:p w:rsidR="00DB633B" w:rsidRPr="00DD18EF" w:rsidRDefault="00DB633B" w:rsidP="0023386A">
            <w:pPr>
              <w:rPr>
                <w:rFonts w:ascii="Arial" w:hAnsi="Arial" w:cs="Arial"/>
                <w:sz w:val="20"/>
              </w:rPr>
            </w:pPr>
          </w:p>
        </w:tc>
        <w:tc>
          <w:tcPr>
            <w:tcW w:w="2977" w:type="dxa"/>
            <w:vMerge/>
          </w:tcPr>
          <w:p w:rsidR="00DB633B" w:rsidRPr="00DD18EF" w:rsidRDefault="00DB633B" w:rsidP="0023386A">
            <w:pPr>
              <w:rPr>
                <w:rFonts w:ascii="Arial" w:hAnsi="Arial" w:cs="Arial"/>
                <w:sz w:val="20"/>
              </w:rPr>
            </w:pPr>
          </w:p>
        </w:tc>
      </w:tr>
      <w:tr w:rsidR="00DB633B" w:rsidRPr="00DD18EF" w:rsidTr="00DD18EF">
        <w:tc>
          <w:tcPr>
            <w:tcW w:w="4077" w:type="dxa"/>
          </w:tcPr>
          <w:p w:rsidR="00DB633B" w:rsidRPr="00DD18EF" w:rsidRDefault="00DB633B" w:rsidP="0023386A">
            <w:pPr>
              <w:rPr>
                <w:rFonts w:ascii="Arial" w:hAnsi="Arial" w:cs="Arial"/>
                <w:sz w:val="20"/>
              </w:rPr>
            </w:pPr>
            <w:r>
              <w:rPr>
                <w:rFonts w:ascii="Arial" w:hAnsi="Arial" w:cs="Arial"/>
                <w:sz w:val="20"/>
              </w:rPr>
              <w:t>Pharmacy staff ensure that supervised consumption takes place in a consultation room and that a supply of drinking water is provided</w:t>
            </w:r>
          </w:p>
        </w:tc>
        <w:tc>
          <w:tcPr>
            <w:tcW w:w="1560" w:type="dxa"/>
            <w:vMerge/>
          </w:tcPr>
          <w:p w:rsidR="00DB633B" w:rsidRPr="00DD18EF" w:rsidRDefault="00DB633B" w:rsidP="0023386A">
            <w:pPr>
              <w:rPr>
                <w:rFonts w:ascii="Arial" w:hAnsi="Arial" w:cs="Arial"/>
                <w:sz w:val="20"/>
              </w:rPr>
            </w:pPr>
          </w:p>
        </w:tc>
        <w:tc>
          <w:tcPr>
            <w:tcW w:w="2693" w:type="dxa"/>
            <w:vMerge/>
          </w:tcPr>
          <w:p w:rsidR="00DB633B" w:rsidRPr="00DD18EF" w:rsidRDefault="00DB633B" w:rsidP="0023386A">
            <w:pPr>
              <w:rPr>
                <w:rFonts w:ascii="Arial" w:hAnsi="Arial" w:cs="Arial"/>
                <w:sz w:val="20"/>
              </w:rPr>
            </w:pPr>
          </w:p>
        </w:tc>
        <w:tc>
          <w:tcPr>
            <w:tcW w:w="2693" w:type="dxa"/>
            <w:vMerge/>
          </w:tcPr>
          <w:p w:rsidR="00DB633B" w:rsidRPr="00DD18EF" w:rsidRDefault="00DB633B" w:rsidP="0023386A">
            <w:pPr>
              <w:rPr>
                <w:rFonts w:ascii="Arial" w:hAnsi="Arial" w:cs="Arial"/>
                <w:sz w:val="20"/>
              </w:rPr>
            </w:pPr>
          </w:p>
        </w:tc>
        <w:tc>
          <w:tcPr>
            <w:tcW w:w="2977" w:type="dxa"/>
            <w:vMerge/>
          </w:tcPr>
          <w:p w:rsidR="00DB633B" w:rsidRPr="00DD18EF" w:rsidRDefault="00DB633B" w:rsidP="0023386A">
            <w:pPr>
              <w:rPr>
                <w:rFonts w:ascii="Arial" w:hAnsi="Arial" w:cs="Arial"/>
                <w:sz w:val="20"/>
              </w:rPr>
            </w:pPr>
          </w:p>
        </w:tc>
      </w:tr>
      <w:tr w:rsidR="00DB633B" w:rsidRPr="00DD18EF" w:rsidTr="00DD18EF">
        <w:tc>
          <w:tcPr>
            <w:tcW w:w="4077" w:type="dxa"/>
          </w:tcPr>
          <w:p w:rsidR="00DB633B" w:rsidRPr="00DB633B" w:rsidRDefault="00DB633B" w:rsidP="00DB633B">
            <w:pPr>
              <w:rPr>
                <w:rFonts w:ascii="Arial" w:hAnsi="Arial" w:cs="Arial"/>
                <w:sz w:val="20"/>
              </w:rPr>
            </w:pPr>
            <w:r>
              <w:rPr>
                <w:rFonts w:ascii="Arial" w:hAnsi="Arial" w:cs="Arial"/>
                <w:sz w:val="20"/>
              </w:rPr>
              <w:t>Pharmacy staff ensure that they notify the TB service is a patient does not attend for their supervised consumption</w:t>
            </w:r>
          </w:p>
        </w:tc>
        <w:tc>
          <w:tcPr>
            <w:tcW w:w="1560" w:type="dxa"/>
            <w:vMerge/>
          </w:tcPr>
          <w:p w:rsidR="00DB633B" w:rsidRPr="00DD18EF" w:rsidRDefault="00DB633B" w:rsidP="0023386A">
            <w:pPr>
              <w:rPr>
                <w:rFonts w:ascii="Arial" w:hAnsi="Arial" w:cs="Arial"/>
                <w:sz w:val="20"/>
              </w:rPr>
            </w:pPr>
          </w:p>
        </w:tc>
        <w:tc>
          <w:tcPr>
            <w:tcW w:w="2693" w:type="dxa"/>
            <w:vMerge/>
          </w:tcPr>
          <w:p w:rsidR="00DB633B" w:rsidRPr="00DD18EF" w:rsidRDefault="00DB633B" w:rsidP="0023386A">
            <w:pPr>
              <w:rPr>
                <w:rFonts w:ascii="Arial" w:hAnsi="Arial" w:cs="Arial"/>
                <w:sz w:val="20"/>
              </w:rPr>
            </w:pPr>
          </w:p>
        </w:tc>
        <w:tc>
          <w:tcPr>
            <w:tcW w:w="2693" w:type="dxa"/>
            <w:vMerge/>
          </w:tcPr>
          <w:p w:rsidR="00DB633B" w:rsidRPr="00DD18EF" w:rsidRDefault="00DB633B" w:rsidP="0023386A">
            <w:pPr>
              <w:rPr>
                <w:rFonts w:ascii="Arial" w:hAnsi="Arial" w:cs="Arial"/>
                <w:sz w:val="20"/>
              </w:rPr>
            </w:pPr>
          </w:p>
        </w:tc>
        <w:tc>
          <w:tcPr>
            <w:tcW w:w="2977" w:type="dxa"/>
            <w:vMerge/>
          </w:tcPr>
          <w:p w:rsidR="00DB633B" w:rsidRPr="00DD18EF" w:rsidRDefault="00DB633B" w:rsidP="0023386A">
            <w:pPr>
              <w:rPr>
                <w:rFonts w:ascii="Arial" w:hAnsi="Arial" w:cs="Arial"/>
                <w:sz w:val="20"/>
              </w:rPr>
            </w:pPr>
          </w:p>
        </w:tc>
      </w:tr>
      <w:tr w:rsidR="00C62396" w:rsidRPr="00DD18EF" w:rsidTr="00C17F1E">
        <w:tc>
          <w:tcPr>
            <w:tcW w:w="14000" w:type="dxa"/>
            <w:gridSpan w:val="5"/>
          </w:tcPr>
          <w:p w:rsidR="00C62396" w:rsidRPr="00DD18EF" w:rsidRDefault="00C62396" w:rsidP="0023386A">
            <w:pPr>
              <w:rPr>
                <w:rFonts w:ascii="Arial" w:hAnsi="Arial" w:cs="Arial"/>
                <w:sz w:val="20"/>
              </w:rPr>
            </w:pPr>
            <w:r>
              <w:rPr>
                <w:rFonts w:ascii="Arial" w:hAnsi="Arial" w:cs="Arial"/>
                <w:sz w:val="20"/>
              </w:rPr>
              <w:t>Additional data will be captured via PharmOutcomes</w:t>
            </w:r>
          </w:p>
        </w:tc>
      </w:tr>
    </w:tbl>
    <w:p w:rsidR="009A5993" w:rsidRDefault="009A5993" w:rsidP="0023386A">
      <w:pPr>
        <w:rPr>
          <w:u w:val="single"/>
        </w:rPr>
      </w:pPr>
    </w:p>
    <w:p w:rsidR="009A5993" w:rsidRPr="0023386A" w:rsidRDefault="009A5993" w:rsidP="0023386A">
      <w:pPr>
        <w:rPr>
          <w:u w:val="single"/>
        </w:rPr>
      </w:pPr>
    </w:p>
    <w:sectPr w:rsidR="009A5993" w:rsidRPr="0023386A" w:rsidSect="00714CB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59A" w:rsidRDefault="0019559A" w:rsidP="00D92059">
      <w:pPr>
        <w:spacing w:after="0"/>
      </w:pPr>
      <w:r>
        <w:separator/>
      </w:r>
    </w:p>
  </w:endnote>
  <w:endnote w:type="continuationSeparator" w:id="0">
    <w:p w:rsidR="0019559A" w:rsidRDefault="0019559A" w:rsidP="00D92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59A" w:rsidRDefault="0019559A" w:rsidP="00D92059">
      <w:pPr>
        <w:spacing w:after="0"/>
      </w:pPr>
      <w:r>
        <w:separator/>
      </w:r>
    </w:p>
  </w:footnote>
  <w:footnote w:type="continuationSeparator" w:id="0">
    <w:p w:rsidR="0019559A" w:rsidRDefault="0019559A" w:rsidP="00D92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059" w:rsidRDefault="00FD6AF4" w:rsidP="00FD6AF4">
    <w:pPr>
      <w:pStyle w:val="Header"/>
      <w:jc w:val="right"/>
    </w:pPr>
    <w:r>
      <w:rPr>
        <w:noProof/>
        <w:lang w:val="en-GB" w:eastAsia="en-GB"/>
      </w:rPr>
      <w:drawing>
        <wp:inline distT="0" distB="0" distL="0" distR="0" wp14:anchorId="6747DA1E">
          <wp:extent cx="1603375"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04458"/>
    <w:multiLevelType w:val="hybridMultilevel"/>
    <w:tmpl w:val="DB025656"/>
    <w:lvl w:ilvl="0" w:tplc="3CDA0706">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438673B"/>
    <w:multiLevelType w:val="hybridMultilevel"/>
    <w:tmpl w:val="1BEA3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E31CF"/>
    <w:multiLevelType w:val="multilevel"/>
    <w:tmpl w:val="0066B6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405F21"/>
    <w:multiLevelType w:val="hybridMultilevel"/>
    <w:tmpl w:val="7B62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54BA9"/>
    <w:multiLevelType w:val="multilevel"/>
    <w:tmpl w:val="A32A2BB6"/>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37901D7"/>
    <w:multiLevelType w:val="hybridMultilevel"/>
    <w:tmpl w:val="54327A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95597A"/>
    <w:multiLevelType w:val="multilevel"/>
    <w:tmpl w:val="E214AA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2AB13E6"/>
    <w:multiLevelType w:val="hybridMultilevel"/>
    <w:tmpl w:val="2648F3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EF91018"/>
    <w:multiLevelType w:val="hybridMultilevel"/>
    <w:tmpl w:val="5278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2D3D17"/>
    <w:multiLevelType w:val="hybridMultilevel"/>
    <w:tmpl w:val="4FC6D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B3288"/>
    <w:multiLevelType w:val="hybridMultilevel"/>
    <w:tmpl w:val="9A5075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B17F77"/>
    <w:multiLevelType w:val="hybridMultilevel"/>
    <w:tmpl w:val="DBB43ADE"/>
    <w:lvl w:ilvl="0" w:tplc="D390E9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A064542"/>
    <w:multiLevelType w:val="hybridMultilevel"/>
    <w:tmpl w:val="58FA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633431"/>
    <w:multiLevelType w:val="multilevel"/>
    <w:tmpl w:val="D5B86D2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5"/>
  </w:num>
  <w:num w:numId="8">
    <w:abstractNumId w:val="3"/>
  </w:num>
  <w:num w:numId="9">
    <w:abstractNumId w:val="7"/>
  </w:num>
  <w:num w:numId="10">
    <w:abstractNumId w:val="12"/>
  </w:num>
  <w:num w:numId="11">
    <w:abstractNumId w:val="10"/>
  </w:num>
  <w:num w:numId="12">
    <w:abstractNumId w:val="11"/>
  </w:num>
  <w:num w:numId="13">
    <w:abstractNumId w:val="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69"/>
    <w:rsid w:val="00023542"/>
    <w:rsid w:val="00034258"/>
    <w:rsid w:val="00064DF2"/>
    <w:rsid w:val="00075BB0"/>
    <w:rsid w:val="0009725E"/>
    <w:rsid w:val="000A54B0"/>
    <w:rsid w:val="000E7B0E"/>
    <w:rsid w:val="00102C93"/>
    <w:rsid w:val="00127B39"/>
    <w:rsid w:val="00140C2C"/>
    <w:rsid w:val="0019559A"/>
    <w:rsid w:val="001C3BF0"/>
    <w:rsid w:val="00201880"/>
    <w:rsid w:val="0023386A"/>
    <w:rsid w:val="002A38DA"/>
    <w:rsid w:val="002C187C"/>
    <w:rsid w:val="002E4AD8"/>
    <w:rsid w:val="00371A40"/>
    <w:rsid w:val="003B6EFA"/>
    <w:rsid w:val="003C3464"/>
    <w:rsid w:val="00400A26"/>
    <w:rsid w:val="00425064"/>
    <w:rsid w:val="00445FFF"/>
    <w:rsid w:val="004C13EB"/>
    <w:rsid w:val="00535987"/>
    <w:rsid w:val="00591841"/>
    <w:rsid w:val="00637269"/>
    <w:rsid w:val="00714CB5"/>
    <w:rsid w:val="00771EB3"/>
    <w:rsid w:val="007A3D86"/>
    <w:rsid w:val="007C6D99"/>
    <w:rsid w:val="008F5A7F"/>
    <w:rsid w:val="00960C5A"/>
    <w:rsid w:val="009A5993"/>
    <w:rsid w:val="009F4C1A"/>
    <w:rsid w:val="00A14E54"/>
    <w:rsid w:val="00A3703D"/>
    <w:rsid w:val="00A711C0"/>
    <w:rsid w:val="00A8778D"/>
    <w:rsid w:val="00AD0448"/>
    <w:rsid w:val="00B22FD5"/>
    <w:rsid w:val="00B5093D"/>
    <w:rsid w:val="00B91795"/>
    <w:rsid w:val="00C03AF3"/>
    <w:rsid w:val="00C04FDC"/>
    <w:rsid w:val="00C62396"/>
    <w:rsid w:val="00CD54B5"/>
    <w:rsid w:val="00CE2079"/>
    <w:rsid w:val="00CF1487"/>
    <w:rsid w:val="00D0270D"/>
    <w:rsid w:val="00D03710"/>
    <w:rsid w:val="00D449BE"/>
    <w:rsid w:val="00D74038"/>
    <w:rsid w:val="00D92059"/>
    <w:rsid w:val="00DA62C7"/>
    <w:rsid w:val="00DA7D60"/>
    <w:rsid w:val="00DB25C5"/>
    <w:rsid w:val="00DB633B"/>
    <w:rsid w:val="00DD18EF"/>
    <w:rsid w:val="00E50C73"/>
    <w:rsid w:val="00E63583"/>
    <w:rsid w:val="00E9004D"/>
    <w:rsid w:val="00E91E41"/>
    <w:rsid w:val="00EB6BDF"/>
    <w:rsid w:val="00F0481D"/>
    <w:rsid w:val="00F34407"/>
    <w:rsid w:val="00F447B4"/>
    <w:rsid w:val="00F5050C"/>
    <w:rsid w:val="00FA0CC7"/>
    <w:rsid w:val="00FB2BC4"/>
    <w:rsid w:val="00FD56F9"/>
    <w:rsid w:val="00FD6AF4"/>
    <w:rsid w:val="00FF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8DAA61-2982-A748-A3EF-63BE2BFD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269"/>
    <w:pPr>
      <w:spacing w:after="200"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637269"/>
    <w:pPr>
      <w:spacing w:after="0" w:line="660" w:lineRule="exact"/>
      <w:jc w:val="center"/>
      <w:outlineLvl w:val="0"/>
    </w:pPr>
    <w:rPr>
      <w:rFonts w:ascii="Arial" w:eastAsia="Times New Roman"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269"/>
    <w:rPr>
      <w:rFonts w:ascii="Arial" w:eastAsia="Times New Roman" w:hAnsi="Arial" w:cs="Arial"/>
      <w:b/>
      <w:sz w:val="28"/>
      <w:szCs w:val="28"/>
    </w:rPr>
  </w:style>
  <w:style w:type="character" w:customStyle="1" w:styleId="ListParagraphChar">
    <w:name w:val="List Paragraph Char"/>
    <w:basedOn w:val="DefaultParagraphFont"/>
    <w:link w:val="ListParagraph"/>
    <w:uiPriority w:val="34"/>
    <w:locked/>
    <w:rsid w:val="00637269"/>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637269"/>
    <w:pPr>
      <w:spacing w:after="0"/>
      <w:ind w:left="720"/>
    </w:pPr>
    <w:rPr>
      <w:rFonts w:ascii="Times New Roman" w:eastAsia="Times New Roman" w:hAnsi="Times New Roman" w:cs="Times New Roman"/>
      <w:szCs w:val="24"/>
      <w:lang w:val="en-GB" w:eastAsia="en-GB"/>
    </w:rPr>
  </w:style>
  <w:style w:type="table" w:styleId="TableGrid">
    <w:name w:val="Table Grid"/>
    <w:basedOn w:val="TableNormal"/>
    <w:uiPriority w:val="59"/>
    <w:rsid w:val="00637269"/>
    <w:pPr>
      <w:spacing w:after="0" w:line="240" w:lineRule="auto"/>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1EB3"/>
    <w:pPr>
      <w:spacing w:after="0" w:line="240" w:lineRule="auto"/>
    </w:pPr>
    <w:rPr>
      <w:rFonts w:eastAsiaTheme="minorEastAsia"/>
      <w:sz w:val="24"/>
      <w:szCs w:val="20"/>
      <w:lang w:val="en-US" w:eastAsia="ja-JP"/>
    </w:rPr>
  </w:style>
  <w:style w:type="paragraph" w:customStyle="1" w:styleId="Default">
    <w:name w:val="Default"/>
    <w:rsid w:val="00FD56F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35987"/>
    <w:rPr>
      <w:color w:val="0563C1" w:themeColor="hyperlink"/>
      <w:u w:val="single"/>
    </w:rPr>
  </w:style>
  <w:style w:type="paragraph" w:styleId="NormalWeb">
    <w:name w:val="Normal (Web)"/>
    <w:basedOn w:val="Normal"/>
    <w:uiPriority w:val="99"/>
    <w:semiHidden/>
    <w:unhideWhenUsed/>
    <w:rsid w:val="00E9004D"/>
    <w:pPr>
      <w:spacing w:before="100" w:beforeAutospacing="1" w:after="100" w:afterAutospacing="1"/>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DA7D60"/>
    <w:rPr>
      <w:b/>
      <w:bCs/>
    </w:rPr>
  </w:style>
  <w:style w:type="paragraph" w:styleId="Header">
    <w:name w:val="header"/>
    <w:basedOn w:val="Normal"/>
    <w:link w:val="HeaderChar"/>
    <w:uiPriority w:val="99"/>
    <w:unhideWhenUsed/>
    <w:rsid w:val="00D92059"/>
    <w:pPr>
      <w:tabs>
        <w:tab w:val="center" w:pos="4513"/>
        <w:tab w:val="right" w:pos="9026"/>
      </w:tabs>
      <w:spacing w:after="0"/>
    </w:pPr>
  </w:style>
  <w:style w:type="character" w:customStyle="1" w:styleId="HeaderChar">
    <w:name w:val="Header Char"/>
    <w:basedOn w:val="DefaultParagraphFont"/>
    <w:link w:val="Header"/>
    <w:uiPriority w:val="99"/>
    <w:rsid w:val="00D92059"/>
    <w:rPr>
      <w:rFonts w:eastAsiaTheme="minorEastAsia"/>
      <w:sz w:val="24"/>
      <w:szCs w:val="20"/>
      <w:lang w:val="en-US" w:eastAsia="ja-JP"/>
    </w:rPr>
  </w:style>
  <w:style w:type="paragraph" w:styleId="Footer">
    <w:name w:val="footer"/>
    <w:basedOn w:val="Normal"/>
    <w:link w:val="FooterChar"/>
    <w:uiPriority w:val="99"/>
    <w:unhideWhenUsed/>
    <w:rsid w:val="00D92059"/>
    <w:pPr>
      <w:tabs>
        <w:tab w:val="center" w:pos="4513"/>
        <w:tab w:val="right" w:pos="9026"/>
      </w:tabs>
      <w:spacing w:after="0"/>
    </w:pPr>
  </w:style>
  <w:style w:type="character" w:customStyle="1" w:styleId="FooterChar">
    <w:name w:val="Footer Char"/>
    <w:basedOn w:val="DefaultParagraphFont"/>
    <w:link w:val="Footer"/>
    <w:uiPriority w:val="99"/>
    <w:rsid w:val="00D92059"/>
    <w:rPr>
      <w:rFonts w:eastAsiaTheme="minorEastAsia"/>
      <w:sz w:val="24"/>
      <w:szCs w:val="20"/>
      <w:lang w:val="en-US" w:eastAsia="ja-JP"/>
    </w:rPr>
  </w:style>
  <w:style w:type="paragraph" w:styleId="BalloonText">
    <w:name w:val="Balloon Text"/>
    <w:basedOn w:val="Normal"/>
    <w:link w:val="BalloonTextChar"/>
    <w:uiPriority w:val="99"/>
    <w:semiHidden/>
    <w:unhideWhenUsed/>
    <w:rsid w:val="00FD6AF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AF4"/>
    <w:rPr>
      <w:rFonts w:ascii="Tahoma" w:eastAsiaTheme="minorEastAsia"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6212">
      <w:bodyDiv w:val="1"/>
      <w:marLeft w:val="0"/>
      <w:marRight w:val="0"/>
      <w:marTop w:val="0"/>
      <w:marBottom w:val="0"/>
      <w:divBdr>
        <w:top w:val="none" w:sz="0" w:space="0" w:color="auto"/>
        <w:left w:val="none" w:sz="0" w:space="0" w:color="auto"/>
        <w:bottom w:val="none" w:sz="0" w:space="0" w:color="auto"/>
        <w:right w:val="none" w:sz="0" w:space="0" w:color="auto"/>
      </w:divBdr>
    </w:div>
    <w:div w:id="1700356062">
      <w:bodyDiv w:val="1"/>
      <w:marLeft w:val="0"/>
      <w:marRight w:val="0"/>
      <w:marTop w:val="0"/>
      <w:marBottom w:val="0"/>
      <w:divBdr>
        <w:top w:val="none" w:sz="0" w:space="0" w:color="auto"/>
        <w:left w:val="none" w:sz="0" w:space="0" w:color="auto"/>
        <w:bottom w:val="none" w:sz="0" w:space="0" w:color="auto"/>
        <w:right w:val="none" w:sz="0" w:space="0" w:color="auto"/>
      </w:divBdr>
      <w:divsChild>
        <w:div w:id="528840281">
          <w:marLeft w:val="0"/>
          <w:marRight w:val="0"/>
          <w:marTop w:val="0"/>
          <w:marBottom w:val="0"/>
          <w:divBdr>
            <w:top w:val="none" w:sz="0" w:space="0" w:color="auto"/>
            <w:left w:val="none" w:sz="0" w:space="0" w:color="auto"/>
            <w:bottom w:val="none" w:sz="0" w:space="0" w:color="auto"/>
            <w:right w:val="none" w:sz="0" w:space="0" w:color="auto"/>
          </w:divBdr>
          <w:divsChild>
            <w:div w:id="6405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ssg.pc.contracts@nhs.net" TargetMode="External"/><Relationship Id="rId13" Type="http://schemas.openxmlformats.org/officeDocument/2006/relationships/hyperlink" Target="https://bnssgccg.nhs.uk/library/adults-and-childrens-safeguarding-policy/" TargetMode="External"/><Relationship Id="rId3" Type="http://schemas.openxmlformats.org/officeDocument/2006/relationships/settings" Target="settings.xml"/><Relationship Id="rId7" Type="http://schemas.openxmlformats.org/officeDocument/2006/relationships/hyperlink" Target="mailto:hwilkinson1@nhs.net" TargetMode="External"/><Relationship Id="rId12" Type="http://schemas.openxmlformats.org/officeDocument/2006/relationships/hyperlink" Target="https://bnssg-datix.scwcsu.nhs.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ng3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ssets.publishing.service.gov.uk/government/uploads/system/uploads/attachment_data/file/403231/Collaborative_TB_Strategy_for_England_2015_2020_.pdf" TargetMode="External"/><Relationship Id="rId4" Type="http://schemas.openxmlformats.org/officeDocument/2006/relationships/webSettings" Target="webSettings.xml"/><Relationship Id="rId9" Type="http://schemas.openxmlformats.org/officeDocument/2006/relationships/hyperlink" Target="https://www.bristol.gov.uk/documents/20182/34748/JSNA+2018+Data+Profile.pdf/f931b437-84fc-699a-639f-89dde144b142" TargetMode="External"/><Relationship Id="rId14" Type="http://schemas.openxmlformats.org/officeDocument/2006/relationships/hyperlink" Target="https://bnssgccg.nhs.uk/library/mental-capacity-act-and-deprivation-liberty-safeguards-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SCW</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Darlison Louisa (BNSSG CCG)</dc:creator>
  <cp:lastModifiedBy>Microsoft Office User</cp:lastModifiedBy>
  <cp:revision>2</cp:revision>
  <dcterms:created xsi:type="dcterms:W3CDTF">2021-09-27T09:05:00Z</dcterms:created>
  <dcterms:modified xsi:type="dcterms:W3CDTF">2021-09-27T09:05:00Z</dcterms:modified>
</cp:coreProperties>
</file>