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6F775" w14:textId="77777777" w:rsidR="00E94A4D" w:rsidRDefault="00E94A4D" w:rsidP="00E94A4D">
      <w:pPr>
        <w:pStyle w:val="BodyText"/>
        <w:jc w:val="center"/>
        <w:rPr>
          <w:b/>
          <w:bCs/>
          <w:sz w:val="20"/>
          <w:szCs w:val="20"/>
        </w:rPr>
      </w:pPr>
    </w:p>
    <w:p w14:paraId="2D89323B" w14:textId="77777777" w:rsidR="00E94A4D" w:rsidRDefault="00E94A4D" w:rsidP="00E94A4D">
      <w:pPr>
        <w:pStyle w:val="BodyText"/>
        <w:jc w:val="both"/>
        <w:rPr>
          <w:b/>
          <w:bCs/>
          <w:sz w:val="20"/>
          <w:szCs w:val="20"/>
        </w:rPr>
      </w:pPr>
    </w:p>
    <w:tbl>
      <w:tblPr>
        <w:tblW w:w="9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73"/>
        <w:gridCol w:w="6035"/>
      </w:tblGrid>
      <w:tr w:rsidR="00E94A4D" w:rsidRPr="009E2A23" w14:paraId="1FBF38AC" w14:textId="77777777" w:rsidTr="000B011F">
        <w:trPr>
          <w:trHeight w:val="345"/>
        </w:trPr>
        <w:tc>
          <w:tcPr>
            <w:tcW w:w="3073" w:type="dxa"/>
            <w:shd w:val="clear" w:color="auto" w:fill="595959"/>
            <w:vAlign w:val="center"/>
          </w:tcPr>
          <w:p w14:paraId="0358CAF1" w14:textId="77777777" w:rsidR="00E94A4D" w:rsidRPr="00C5026F" w:rsidRDefault="00E94A4D" w:rsidP="000B011F">
            <w:pPr>
              <w:pStyle w:val="BodyText"/>
              <w:rPr>
                <w:color w:val="FFFF00"/>
                <w:sz w:val="20"/>
                <w:szCs w:val="20"/>
              </w:rPr>
            </w:pPr>
            <w:r w:rsidRPr="00C5026F">
              <w:rPr>
                <w:color w:val="FFFF00"/>
                <w:sz w:val="20"/>
                <w:szCs w:val="20"/>
              </w:rPr>
              <w:t xml:space="preserve">Service Specification No. </w:t>
            </w:r>
          </w:p>
        </w:tc>
        <w:tc>
          <w:tcPr>
            <w:tcW w:w="6035" w:type="dxa"/>
            <w:vAlign w:val="center"/>
          </w:tcPr>
          <w:p w14:paraId="006E3A4C" w14:textId="77777777" w:rsidR="00E94A4D" w:rsidRPr="009E2A23" w:rsidRDefault="00E94A4D" w:rsidP="000B011F">
            <w:pPr>
              <w:pStyle w:val="BodyText"/>
              <w:rPr>
                <w:b/>
                <w:bCs/>
                <w:sz w:val="20"/>
                <w:szCs w:val="20"/>
              </w:rPr>
            </w:pPr>
          </w:p>
        </w:tc>
      </w:tr>
      <w:tr w:rsidR="00E94A4D" w:rsidRPr="009E2A23" w14:paraId="61DE9F5A" w14:textId="77777777" w:rsidTr="000B011F">
        <w:trPr>
          <w:trHeight w:val="345"/>
        </w:trPr>
        <w:tc>
          <w:tcPr>
            <w:tcW w:w="3073" w:type="dxa"/>
            <w:shd w:val="clear" w:color="auto" w:fill="595959"/>
            <w:vAlign w:val="center"/>
          </w:tcPr>
          <w:p w14:paraId="05EDE7C5" w14:textId="77777777" w:rsidR="00E94A4D" w:rsidRPr="00C5026F" w:rsidRDefault="00E94A4D" w:rsidP="000B011F">
            <w:pPr>
              <w:pStyle w:val="BodyText"/>
              <w:rPr>
                <w:color w:val="FFFF00"/>
                <w:sz w:val="20"/>
                <w:szCs w:val="20"/>
              </w:rPr>
            </w:pPr>
            <w:r w:rsidRPr="00C5026F">
              <w:rPr>
                <w:color w:val="FFFF00"/>
                <w:sz w:val="20"/>
                <w:szCs w:val="20"/>
              </w:rPr>
              <w:t>Service</w:t>
            </w:r>
          </w:p>
        </w:tc>
        <w:tc>
          <w:tcPr>
            <w:tcW w:w="6035" w:type="dxa"/>
            <w:vAlign w:val="center"/>
          </w:tcPr>
          <w:p w14:paraId="12E121E9" w14:textId="141ADBA8" w:rsidR="00E94A4D" w:rsidRPr="006A283E" w:rsidRDefault="00A579F0" w:rsidP="00AE2091">
            <w:pPr>
              <w:pStyle w:val="BodyText"/>
              <w:rPr>
                <w:b/>
                <w:bCs/>
                <w:sz w:val="20"/>
                <w:szCs w:val="20"/>
              </w:rPr>
            </w:pPr>
            <w:r w:rsidRPr="006A283E">
              <w:rPr>
                <w:b/>
                <w:bCs/>
                <w:sz w:val="20"/>
                <w:szCs w:val="20"/>
              </w:rPr>
              <w:t>Pharmacy Needle Exchange</w:t>
            </w:r>
          </w:p>
        </w:tc>
      </w:tr>
      <w:tr w:rsidR="00E94A4D" w:rsidRPr="009E2A23" w14:paraId="719C9E98" w14:textId="77777777" w:rsidTr="000B011F">
        <w:trPr>
          <w:trHeight w:val="345"/>
        </w:trPr>
        <w:tc>
          <w:tcPr>
            <w:tcW w:w="3073" w:type="dxa"/>
            <w:shd w:val="clear" w:color="auto" w:fill="595959"/>
            <w:vAlign w:val="center"/>
          </w:tcPr>
          <w:p w14:paraId="34942EA1" w14:textId="77777777" w:rsidR="00E94A4D" w:rsidRPr="00C5026F" w:rsidRDefault="00E94A4D" w:rsidP="000B011F">
            <w:pPr>
              <w:pStyle w:val="BodyText"/>
              <w:rPr>
                <w:color w:val="FFFF00"/>
                <w:sz w:val="20"/>
                <w:szCs w:val="20"/>
              </w:rPr>
            </w:pPr>
            <w:r w:rsidRPr="00C5026F">
              <w:rPr>
                <w:color w:val="FFFF00"/>
                <w:sz w:val="20"/>
                <w:szCs w:val="20"/>
              </w:rPr>
              <w:t>Authority Lead</w:t>
            </w:r>
          </w:p>
        </w:tc>
        <w:tc>
          <w:tcPr>
            <w:tcW w:w="6035" w:type="dxa"/>
            <w:vAlign w:val="center"/>
          </w:tcPr>
          <w:p w14:paraId="5AA1BC23" w14:textId="77777777" w:rsidR="005A078C" w:rsidRDefault="005A078C" w:rsidP="005A078C">
            <w:pPr>
              <w:pStyle w:val="BodyText"/>
              <w:rPr>
                <w:sz w:val="20"/>
                <w:szCs w:val="20"/>
              </w:rPr>
            </w:pPr>
            <w:r w:rsidRPr="002824D3">
              <w:rPr>
                <w:sz w:val="20"/>
                <w:szCs w:val="20"/>
              </w:rPr>
              <w:t>Fiona Dixon</w:t>
            </w:r>
            <w:r>
              <w:rPr>
                <w:sz w:val="20"/>
                <w:szCs w:val="20"/>
              </w:rPr>
              <w:t>, Substance Use Commissioning Manager, Public Health and Regulatory Services, North Somerset Council.</w:t>
            </w:r>
          </w:p>
          <w:p w14:paraId="33CD9A13" w14:textId="09BB7E55" w:rsidR="00E94A4D" w:rsidRPr="006A283E" w:rsidRDefault="005A078C" w:rsidP="005A078C">
            <w:pPr>
              <w:pStyle w:val="BodyText"/>
              <w:rPr>
                <w:b/>
                <w:bCs/>
                <w:sz w:val="20"/>
                <w:szCs w:val="20"/>
              </w:rPr>
            </w:pPr>
            <w:r>
              <w:rPr>
                <w:sz w:val="20"/>
                <w:szCs w:val="20"/>
              </w:rPr>
              <w:t xml:space="preserve">Email: </w:t>
            </w:r>
            <w:hyperlink r:id="rId8" w:history="1">
              <w:r w:rsidRPr="00A50C94">
                <w:rPr>
                  <w:rStyle w:val="Hyperlink"/>
                  <w:sz w:val="20"/>
                  <w:szCs w:val="20"/>
                </w:rPr>
                <w:t>fiona.dixon@n-someret.gov.uk</w:t>
              </w:r>
            </w:hyperlink>
          </w:p>
        </w:tc>
      </w:tr>
    </w:tbl>
    <w:p w14:paraId="30CA3493" w14:textId="77777777" w:rsidR="00E94A4D" w:rsidRDefault="00E94A4D" w:rsidP="00E94A4D"/>
    <w:p w14:paraId="584FAAA4" w14:textId="77777777" w:rsidR="00E94A4D" w:rsidRDefault="00E94A4D" w:rsidP="00E94A4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E94A4D" w:rsidRPr="009E2A23" w14:paraId="3785B751" w14:textId="77777777" w:rsidTr="00836DDE">
        <w:tc>
          <w:tcPr>
            <w:tcW w:w="5000" w:type="pct"/>
            <w:tcBorders>
              <w:top w:val="single" w:sz="4" w:space="0" w:color="999999"/>
              <w:left w:val="single" w:sz="4" w:space="0" w:color="999999"/>
              <w:bottom w:val="single" w:sz="4" w:space="0" w:color="999999"/>
              <w:right w:val="single" w:sz="4" w:space="0" w:color="999999"/>
            </w:tcBorders>
            <w:shd w:val="clear" w:color="auto" w:fill="666666"/>
          </w:tcPr>
          <w:p w14:paraId="03523B1C" w14:textId="77777777" w:rsidR="00E94A4D" w:rsidRPr="00C5026F" w:rsidRDefault="00E94A4D" w:rsidP="000B011F">
            <w:pPr>
              <w:pStyle w:val="BodyText"/>
              <w:jc w:val="both"/>
              <w:rPr>
                <w:color w:val="FFFF00"/>
                <w:sz w:val="10"/>
                <w:szCs w:val="10"/>
              </w:rPr>
            </w:pPr>
          </w:p>
          <w:p w14:paraId="04B2595F" w14:textId="77777777" w:rsidR="00E94A4D" w:rsidRPr="00C5026F" w:rsidRDefault="00E94A4D" w:rsidP="000B011F">
            <w:pPr>
              <w:pStyle w:val="BodyText"/>
              <w:jc w:val="both"/>
              <w:rPr>
                <w:color w:val="FFFF00"/>
                <w:sz w:val="20"/>
                <w:szCs w:val="20"/>
              </w:rPr>
            </w:pPr>
            <w:r w:rsidRPr="00C5026F">
              <w:rPr>
                <w:color w:val="FFFF00"/>
                <w:sz w:val="20"/>
                <w:szCs w:val="20"/>
              </w:rPr>
              <w:t>1.  Population Needs</w:t>
            </w:r>
          </w:p>
          <w:p w14:paraId="491B4DD5" w14:textId="77777777" w:rsidR="00E94A4D" w:rsidRPr="00C5026F" w:rsidRDefault="00E94A4D" w:rsidP="000B011F">
            <w:pPr>
              <w:pStyle w:val="BodyText"/>
              <w:jc w:val="both"/>
              <w:rPr>
                <w:color w:val="FFFF00"/>
                <w:sz w:val="10"/>
                <w:szCs w:val="10"/>
              </w:rPr>
            </w:pPr>
          </w:p>
        </w:tc>
      </w:tr>
      <w:tr w:rsidR="006A283E" w:rsidRPr="009E2A23" w14:paraId="7FF64FB6" w14:textId="77777777" w:rsidTr="00836DDE">
        <w:tc>
          <w:tcPr>
            <w:tcW w:w="5000" w:type="pct"/>
            <w:tcBorders>
              <w:top w:val="single" w:sz="4" w:space="0" w:color="999999"/>
              <w:left w:val="single" w:sz="4" w:space="0" w:color="999999"/>
              <w:bottom w:val="single" w:sz="4" w:space="0" w:color="999999"/>
              <w:right w:val="single" w:sz="4" w:space="0" w:color="999999"/>
            </w:tcBorders>
          </w:tcPr>
          <w:p w14:paraId="332EA681" w14:textId="77777777" w:rsidR="006A283E" w:rsidRPr="006A283E" w:rsidRDefault="006A283E" w:rsidP="006A283E">
            <w:pPr>
              <w:rPr>
                <w:b/>
                <w:bCs/>
                <w:color w:val="00B050"/>
                <w:sz w:val="20"/>
              </w:rPr>
            </w:pPr>
            <w:r w:rsidRPr="006A283E">
              <w:rPr>
                <w:b/>
                <w:bCs/>
                <w:color w:val="00B050"/>
                <w:sz w:val="20"/>
              </w:rPr>
              <w:t>1.1 Context</w:t>
            </w:r>
          </w:p>
          <w:p w14:paraId="1FB671C4" w14:textId="77777777" w:rsidR="006A283E" w:rsidRPr="006A283E" w:rsidRDefault="006A283E" w:rsidP="006A283E">
            <w:pPr>
              <w:rPr>
                <w:rFonts w:cs="Arial"/>
                <w:sz w:val="20"/>
                <w:lang w:eastAsia="en-GB"/>
              </w:rPr>
            </w:pPr>
            <w:r w:rsidRPr="006A283E">
              <w:rPr>
                <w:rFonts w:cs="Arial"/>
                <w:sz w:val="20"/>
                <w:lang w:eastAsia="en-GB"/>
              </w:rPr>
              <w:t>Needle exchange services are an important mechanism for controlling the spread of blood borne viruses (</w:t>
            </w:r>
            <w:r w:rsidRPr="006A283E">
              <w:rPr>
                <w:rFonts w:cs="Arial"/>
                <w:b/>
                <w:sz w:val="20"/>
                <w:lang w:eastAsia="en-GB"/>
              </w:rPr>
              <w:t>BBVs</w:t>
            </w:r>
            <w:r w:rsidRPr="006A283E">
              <w:rPr>
                <w:rFonts w:cs="Arial"/>
                <w:sz w:val="20"/>
                <w:lang w:eastAsia="en-GB"/>
              </w:rPr>
              <w:t>), especially hepatitis C (</w:t>
            </w:r>
            <w:r w:rsidRPr="006A283E">
              <w:rPr>
                <w:rFonts w:cs="Arial"/>
                <w:b/>
                <w:sz w:val="20"/>
                <w:lang w:eastAsia="en-GB"/>
              </w:rPr>
              <w:t>HCV</w:t>
            </w:r>
            <w:r w:rsidRPr="006A283E">
              <w:rPr>
                <w:rFonts w:cs="Arial"/>
                <w:sz w:val="20"/>
                <w:lang w:eastAsia="en-GB"/>
              </w:rPr>
              <w:t>) for which injecting drug users are the highest risk group. Around 90% of new HCV infections in the UK are attributed to the injecting of illicit substances.</w:t>
            </w:r>
          </w:p>
          <w:p w14:paraId="353729F2" w14:textId="77777777" w:rsidR="006A283E" w:rsidRPr="006A283E" w:rsidRDefault="006A283E" w:rsidP="006A283E">
            <w:pPr>
              <w:rPr>
                <w:rFonts w:cs="Arial"/>
                <w:sz w:val="20"/>
                <w:lang w:eastAsia="en-GB"/>
              </w:rPr>
            </w:pPr>
          </w:p>
          <w:p w14:paraId="2050F62B" w14:textId="77777777" w:rsidR="006A283E" w:rsidRPr="006A283E" w:rsidRDefault="006A283E" w:rsidP="006A283E">
            <w:pPr>
              <w:rPr>
                <w:rFonts w:cs="Arial"/>
                <w:sz w:val="20"/>
              </w:rPr>
            </w:pPr>
            <w:r w:rsidRPr="006A283E">
              <w:rPr>
                <w:rFonts w:cs="Arial"/>
                <w:sz w:val="20"/>
                <w:lang w:eastAsia="en-GB"/>
              </w:rPr>
              <w:t>The provision of needle exchange services was shown to be effective in controlling the transmission of BBVs in a 2004 World Health Organisation (</w:t>
            </w:r>
            <w:r w:rsidRPr="006A283E">
              <w:rPr>
                <w:rFonts w:cs="Arial"/>
                <w:b/>
                <w:sz w:val="20"/>
              </w:rPr>
              <w:t>WHO</w:t>
            </w:r>
            <w:r w:rsidRPr="006A283E">
              <w:rPr>
                <w:rFonts w:cs="Arial"/>
                <w:sz w:val="20"/>
              </w:rPr>
              <w:t>) study in which it is stated that needle exchange services "substantially and cost effectively reduce spread of BBV's without increasing injecting use”. In addition, needle exchange services minimise other health related problems such as abscess, and infections such as endocarditis and are an important way of moving individuals towards less risky methods of drug use.</w:t>
            </w:r>
          </w:p>
          <w:p w14:paraId="5D008D83" w14:textId="77777777" w:rsidR="006A283E" w:rsidRPr="006A283E" w:rsidRDefault="006A283E" w:rsidP="006A283E">
            <w:pPr>
              <w:rPr>
                <w:rFonts w:cs="Arial"/>
                <w:sz w:val="20"/>
              </w:rPr>
            </w:pPr>
          </w:p>
          <w:p w14:paraId="7941B5C6" w14:textId="77777777" w:rsidR="006A283E" w:rsidRPr="006A283E" w:rsidRDefault="006A283E" w:rsidP="006A283E">
            <w:pPr>
              <w:rPr>
                <w:rFonts w:cs="Arial"/>
                <w:sz w:val="20"/>
              </w:rPr>
            </w:pPr>
            <w:r w:rsidRPr="006A283E">
              <w:rPr>
                <w:rFonts w:cs="Arial"/>
                <w:sz w:val="20"/>
              </w:rPr>
              <w:t>The safe disposal of injecting related waste, (a service provided by needle exchange programmes) reduces the risk of accidental needle stick injury and associated infections. Needle exchange services have also been shown to an effective route of engagement and referral of drug users into treatment programmes.</w:t>
            </w:r>
          </w:p>
          <w:p w14:paraId="68E76F4E" w14:textId="77777777" w:rsidR="006A283E" w:rsidRPr="006A283E" w:rsidRDefault="006A283E" w:rsidP="006A283E">
            <w:pPr>
              <w:pStyle w:val="BodyText"/>
              <w:rPr>
                <w:sz w:val="20"/>
                <w:szCs w:val="20"/>
              </w:rPr>
            </w:pPr>
          </w:p>
          <w:p w14:paraId="11A5DF47" w14:textId="77777777" w:rsidR="006A283E" w:rsidRPr="006A283E" w:rsidRDefault="006A283E" w:rsidP="006A283E">
            <w:pPr>
              <w:pStyle w:val="BodyText"/>
              <w:rPr>
                <w:sz w:val="20"/>
                <w:szCs w:val="20"/>
              </w:rPr>
            </w:pPr>
            <w:r w:rsidRPr="006A283E">
              <w:rPr>
                <w:sz w:val="20"/>
                <w:szCs w:val="20"/>
              </w:rPr>
              <w:t xml:space="preserve">Community pharmacies have an infrastructure which allows the Needle Exchange (PNX) Service to be provided across a wide geography and for extended periods of time. </w:t>
            </w:r>
          </w:p>
          <w:p w14:paraId="23735567" w14:textId="77777777" w:rsidR="006A283E" w:rsidRPr="006A283E" w:rsidRDefault="006A283E" w:rsidP="006A283E">
            <w:pPr>
              <w:rPr>
                <w:rFonts w:cs="Arial"/>
                <w:sz w:val="20"/>
              </w:rPr>
            </w:pPr>
          </w:p>
          <w:p w14:paraId="1AA00326" w14:textId="77777777" w:rsidR="006A283E" w:rsidRPr="006A283E" w:rsidRDefault="006A283E" w:rsidP="006A283E">
            <w:pPr>
              <w:rPr>
                <w:rFonts w:cs="Arial"/>
                <w:b/>
                <w:color w:val="00B050"/>
                <w:sz w:val="20"/>
              </w:rPr>
            </w:pPr>
            <w:r w:rsidRPr="006A283E">
              <w:rPr>
                <w:rFonts w:cs="Arial"/>
                <w:b/>
                <w:color w:val="00B050"/>
                <w:sz w:val="20"/>
              </w:rPr>
              <w:t>1.2 Population</w:t>
            </w:r>
          </w:p>
          <w:p w14:paraId="07A57B29" w14:textId="5F2B7CAB" w:rsidR="006A283E" w:rsidRPr="00202AAA" w:rsidRDefault="006A283E" w:rsidP="006A283E">
            <w:pPr>
              <w:rPr>
                <w:rFonts w:cs="Arial"/>
                <w:sz w:val="20"/>
              </w:rPr>
            </w:pPr>
            <w:r w:rsidRPr="00202AAA">
              <w:rPr>
                <w:rFonts w:cs="Arial"/>
                <w:sz w:val="20"/>
              </w:rPr>
              <w:t>The most recent estimate of the number of injecting</w:t>
            </w:r>
            <w:r w:rsidR="00F07E6D">
              <w:rPr>
                <w:rFonts w:cs="Arial"/>
                <w:sz w:val="20"/>
              </w:rPr>
              <w:t xml:space="preserve"> opiate and / or crack </w:t>
            </w:r>
            <w:r w:rsidRPr="00202AAA">
              <w:rPr>
                <w:rFonts w:cs="Arial"/>
                <w:sz w:val="20"/>
              </w:rPr>
              <w:t xml:space="preserve">drug users in North Somerset </w:t>
            </w:r>
            <w:r w:rsidR="00202AAA" w:rsidRPr="00202AAA">
              <w:rPr>
                <w:rFonts w:cs="Arial"/>
                <w:sz w:val="20"/>
              </w:rPr>
              <w:t>(</w:t>
            </w:r>
            <w:r w:rsidR="009A6FFE" w:rsidRPr="00202AAA">
              <w:rPr>
                <w:rFonts w:cs="Arial"/>
                <w:sz w:val="20"/>
              </w:rPr>
              <w:t>2019-20</w:t>
            </w:r>
            <w:r w:rsidRPr="00202AAA">
              <w:rPr>
                <w:rFonts w:cs="Arial"/>
                <w:sz w:val="20"/>
              </w:rPr>
              <w:t>) is n=</w:t>
            </w:r>
            <w:r w:rsidR="00512A34" w:rsidRPr="00202AAA">
              <w:rPr>
                <w:rFonts w:cs="Arial"/>
                <w:sz w:val="20"/>
              </w:rPr>
              <w:t>177</w:t>
            </w:r>
            <w:r w:rsidRPr="00202AAA">
              <w:rPr>
                <w:rFonts w:cs="Arial"/>
                <w:sz w:val="20"/>
              </w:rPr>
              <w:t xml:space="preserve"> (95%CI </w:t>
            </w:r>
            <w:r w:rsidR="00512A34" w:rsidRPr="00202AAA">
              <w:rPr>
                <w:rFonts w:cs="Arial"/>
                <w:sz w:val="20"/>
              </w:rPr>
              <w:t xml:space="preserve">145 </w:t>
            </w:r>
            <w:r w:rsidRPr="00202AAA">
              <w:rPr>
                <w:rFonts w:cs="Arial"/>
                <w:sz w:val="20"/>
              </w:rPr>
              <w:t>-</w:t>
            </w:r>
            <w:r w:rsidR="00512A34" w:rsidRPr="00202AAA">
              <w:rPr>
                <w:rFonts w:cs="Arial"/>
                <w:sz w:val="20"/>
              </w:rPr>
              <w:t xml:space="preserve"> 207</w:t>
            </w:r>
            <w:r w:rsidRPr="00202AAA">
              <w:rPr>
                <w:rFonts w:cs="Arial"/>
                <w:sz w:val="20"/>
              </w:rPr>
              <w:t>)</w:t>
            </w:r>
            <w:r w:rsidR="00202AAA" w:rsidRPr="00202AAA">
              <w:rPr>
                <w:rFonts w:cs="Arial"/>
                <w:sz w:val="20"/>
              </w:rPr>
              <w:t>;</w:t>
            </w:r>
            <w:r w:rsidRPr="00202AAA">
              <w:rPr>
                <w:rFonts w:cs="Arial"/>
                <w:sz w:val="20"/>
              </w:rPr>
              <w:t xml:space="preserve"> this equates </w:t>
            </w:r>
            <w:r w:rsidR="00512A34" w:rsidRPr="00202AAA">
              <w:rPr>
                <w:rFonts w:cs="Arial"/>
                <w:sz w:val="20"/>
              </w:rPr>
              <w:t xml:space="preserve">a </w:t>
            </w:r>
            <w:r w:rsidRPr="00202AAA">
              <w:rPr>
                <w:rFonts w:cs="Arial"/>
                <w:sz w:val="20"/>
              </w:rPr>
              <w:t xml:space="preserve">rate </w:t>
            </w:r>
            <w:r w:rsidR="00512A34" w:rsidRPr="00202AAA">
              <w:rPr>
                <w:rFonts w:cs="Arial"/>
                <w:sz w:val="20"/>
              </w:rPr>
              <w:t xml:space="preserve">of 1.4 per 1000 head of adult population </w:t>
            </w:r>
            <w:r w:rsidRPr="00202AAA">
              <w:rPr>
                <w:rFonts w:cs="Arial"/>
                <w:sz w:val="20"/>
              </w:rPr>
              <w:t xml:space="preserve">which is </w:t>
            </w:r>
            <w:r w:rsidR="00512A34" w:rsidRPr="00202AAA">
              <w:rPr>
                <w:rFonts w:cs="Arial"/>
                <w:sz w:val="20"/>
              </w:rPr>
              <w:t xml:space="preserve">lower </w:t>
            </w:r>
            <w:r w:rsidRPr="00202AAA">
              <w:rPr>
                <w:rFonts w:cs="Arial"/>
                <w:sz w:val="20"/>
              </w:rPr>
              <w:t xml:space="preserve">than both the </w:t>
            </w:r>
            <w:r w:rsidR="00202AAA" w:rsidRPr="00202AAA">
              <w:rPr>
                <w:rFonts w:cs="Arial"/>
                <w:sz w:val="20"/>
              </w:rPr>
              <w:t>Southwest</w:t>
            </w:r>
            <w:r w:rsidRPr="00202AAA">
              <w:rPr>
                <w:rFonts w:cs="Arial"/>
                <w:sz w:val="20"/>
              </w:rPr>
              <w:t xml:space="preserve"> </w:t>
            </w:r>
            <w:r w:rsidR="00202AAA" w:rsidRPr="00202AAA">
              <w:rPr>
                <w:rFonts w:cs="Arial"/>
                <w:sz w:val="20"/>
              </w:rPr>
              <w:t>rates of 2.1</w:t>
            </w:r>
            <w:r w:rsidRPr="00202AAA">
              <w:rPr>
                <w:rFonts w:cs="Arial"/>
                <w:sz w:val="20"/>
              </w:rPr>
              <w:t xml:space="preserve"> and England </w:t>
            </w:r>
            <w:r w:rsidR="00202AAA" w:rsidRPr="00202AAA">
              <w:rPr>
                <w:rFonts w:cs="Arial"/>
                <w:sz w:val="20"/>
              </w:rPr>
              <w:t>1.8</w:t>
            </w:r>
            <w:r w:rsidRPr="00202AAA">
              <w:rPr>
                <w:rFonts w:cs="Arial"/>
                <w:sz w:val="20"/>
              </w:rPr>
              <w:t xml:space="preserve">. </w:t>
            </w:r>
          </w:p>
          <w:p w14:paraId="727289C4" w14:textId="77777777" w:rsidR="006A283E" w:rsidRPr="005A078C" w:rsidRDefault="006A283E" w:rsidP="006A283E">
            <w:pPr>
              <w:rPr>
                <w:rFonts w:cs="Arial"/>
                <w:sz w:val="20"/>
                <w:highlight w:val="yellow"/>
              </w:rPr>
            </w:pPr>
          </w:p>
          <w:p w14:paraId="2F1C150C" w14:textId="2F40C8BD" w:rsidR="006A283E" w:rsidRPr="006A283E" w:rsidRDefault="00F07E6D" w:rsidP="006A283E">
            <w:pPr>
              <w:rPr>
                <w:rFonts w:cs="Arial"/>
                <w:sz w:val="20"/>
              </w:rPr>
            </w:pPr>
            <w:r w:rsidRPr="00BC7CA3">
              <w:rPr>
                <w:rFonts w:cs="Arial"/>
                <w:sz w:val="20"/>
              </w:rPr>
              <w:t xml:space="preserve">Whilst patterns of drug use locally </w:t>
            </w:r>
            <w:r w:rsidR="00BC7CA3" w:rsidRPr="00BC7CA3">
              <w:rPr>
                <w:rFonts w:cs="Arial"/>
                <w:sz w:val="20"/>
              </w:rPr>
              <w:t>appear</w:t>
            </w:r>
            <w:r w:rsidRPr="00BC7CA3">
              <w:rPr>
                <w:rFonts w:cs="Arial"/>
                <w:sz w:val="20"/>
              </w:rPr>
              <w:t xml:space="preserve"> to have changed since covid, with less injecting and consequently less needles dispensed, </w:t>
            </w:r>
            <w:proofErr w:type="gramStart"/>
            <w:r w:rsidRPr="00BC7CA3">
              <w:rPr>
                <w:rFonts w:cs="Arial"/>
                <w:sz w:val="20"/>
              </w:rPr>
              <w:t>It</w:t>
            </w:r>
            <w:proofErr w:type="gramEnd"/>
            <w:r w:rsidRPr="00BC7CA3">
              <w:rPr>
                <w:rFonts w:cs="Arial"/>
                <w:sz w:val="20"/>
              </w:rPr>
              <w:t xml:space="preserve"> is estimated that in 2023, on average, approximately 100 individuals accessed pharmacy needle exchange each month collecting on average of 290 packs each month (</w:t>
            </w:r>
            <w:r w:rsidR="00BC7CA3" w:rsidRPr="00BC7CA3">
              <w:rPr>
                <w:rFonts w:cs="Arial"/>
                <w:sz w:val="20"/>
              </w:rPr>
              <w:t xml:space="preserve">which equates to </w:t>
            </w:r>
            <w:r w:rsidRPr="00BC7CA3">
              <w:rPr>
                <w:rFonts w:cs="Arial"/>
                <w:sz w:val="20"/>
              </w:rPr>
              <w:t>approximately 69,000 needles</w:t>
            </w:r>
            <w:r w:rsidR="006A283E" w:rsidRPr="00BC7CA3">
              <w:rPr>
                <w:rFonts w:cs="Arial"/>
                <w:sz w:val="20"/>
              </w:rPr>
              <w:t xml:space="preserve"> per annum </w:t>
            </w:r>
            <w:r w:rsidR="00BC7CA3" w:rsidRPr="00BC7CA3">
              <w:rPr>
                <w:rFonts w:cs="Arial"/>
                <w:sz w:val="20"/>
              </w:rPr>
              <w:t>which</w:t>
            </w:r>
            <w:r w:rsidR="006A283E" w:rsidRPr="00BC7CA3">
              <w:rPr>
                <w:rFonts w:cs="Arial"/>
                <w:sz w:val="20"/>
              </w:rPr>
              <w:t xml:space="preserve"> highlights t</w:t>
            </w:r>
            <w:r w:rsidR="00BC7CA3" w:rsidRPr="00BC7CA3">
              <w:rPr>
                <w:rFonts w:cs="Arial"/>
                <w:sz w:val="20"/>
              </w:rPr>
              <w:t xml:space="preserve">hat pharmacy based </w:t>
            </w:r>
            <w:r w:rsidR="006A283E" w:rsidRPr="00BC7CA3">
              <w:rPr>
                <w:rFonts w:cs="Arial"/>
                <w:sz w:val="20"/>
              </w:rPr>
              <w:t xml:space="preserve">needle </w:t>
            </w:r>
            <w:r w:rsidR="00BC7CA3" w:rsidRPr="00BC7CA3">
              <w:rPr>
                <w:rFonts w:cs="Arial"/>
                <w:sz w:val="20"/>
              </w:rPr>
              <w:t xml:space="preserve">and syringe </w:t>
            </w:r>
            <w:r w:rsidR="006A283E" w:rsidRPr="00BC7CA3">
              <w:rPr>
                <w:rFonts w:cs="Arial"/>
                <w:sz w:val="20"/>
              </w:rPr>
              <w:t>exchange services</w:t>
            </w:r>
            <w:r w:rsidR="00BC7CA3" w:rsidRPr="00BC7CA3">
              <w:rPr>
                <w:rFonts w:cs="Arial"/>
                <w:sz w:val="20"/>
              </w:rPr>
              <w:t xml:space="preserve"> are still vitally important</w:t>
            </w:r>
            <w:r w:rsidR="006A283E" w:rsidRPr="00BC7CA3">
              <w:rPr>
                <w:rFonts w:cs="Arial"/>
                <w:sz w:val="20"/>
              </w:rPr>
              <w:t>.</w:t>
            </w:r>
            <w:r w:rsidR="006A283E" w:rsidRPr="006A283E">
              <w:rPr>
                <w:rFonts w:cs="Arial"/>
                <w:sz w:val="20"/>
              </w:rPr>
              <w:t xml:space="preserve">  </w:t>
            </w:r>
          </w:p>
          <w:p w14:paraId="1FD66BE7" w14:textId="77777777" w:rsidR="006A283E" w:rsidRPr="006A283E" w:rsidRDefault="006A283E" w:rsidP="006A283E">
            <w:pPr>
              <w:rPr>
                <w:rFonts w:cs="Arial"/>
                <w:i/>
                <w:sz w:val="20"/>
              </w:rPr>
            </w:pPr>
          </w:p>
        </w:tc>
      </w:tr>
      <w:tr w:rsidR="006A283E" w:rsidRPr="009E2A23" w14:paraId="2F8A1C65" w14:textId="77777777" w:rsidTr="00836DDE">
        <w:tc>
          <w:tcPr>
            <w:tcW w:w="5000" w:type="pct"/>
            <w:tcBorders>
              <w:top w:val="single" w:sz="4" w:space="0" w:color="999999"/>
              <w:left w:val="single" w:sz="4" w:space="0" w:color="999999"/>
              <w:bottom w:val="single" w:sz="4" w:space="0" w:color="999999"/>
              <w:right w:val="single" w:sz="4" w:space="0" w:color="999999"/>
            </w:tcBorders>
            <w:shd w:val="clear" w:color="auto" w:fill="666666"/>
          </w:tcPr>
          <w:p w14:paraId="275CEE4F" w14:textId="77777777" w:rsidR="006A283E" w:rsidRPr="009E2A23" w:rsidRDefault="006A283E" w:rsidP="006A283E">
            <w:pPr>
              <w:pStyle w:val="BodyText"/>
              <w:jc w:val="both"/>
              <w:rPr>
                <w:color w:val="FFFFFF"/>
                <w:sz w:val="10"/>
                <w:szCs w:val="10"/>
                <w:u w:val="single"/>
              </w:rPr>
            </w:pPr>
          </w:p>
          <w:p w14:paraId="332F0379" w14:textId="14C0F920" w:rsidR="006A283E" w:rsidRPr="0048231D" w:rsidRDefault="006A283E" w:rsidP="006A283E">
            <w:pPr>
              <w:pStyle w:val="BodyText"/>
              <w:jc w:val="both"/>
              <w:rPr>
                <w:color w:val="FF9900"/>
                <w:sz w:val="20"/>
                <w:szCs w:val="20"/>
              </w:rPr>
            </w:pPr>
            <w:r>
              <w:rPr>
                <w:color w:val="FFFF00"/>
                <w:sz w:val="20"/>
                <w:szCs w:val="20"/>
              </w:rPr>
              <w:t>2</w:t>
            </w:r>
            <w:r w:rsidRPr="00C5026F">
              <w:rPr>
                <w:color w:val="FFFF00"/>
                <w:sz w:val="20"/>
                <w:szCs w:val="20"/>
              </w:rPr>
              <w:t xml:space="preserve">. </w:t>
            </w:r>
            <w:r w:rsidR="00BC7CA3">
              <w:rPr>
                <w:color w:val="FFFF00"/>
                <w:sz w:val="20"/>
                <w:szCs w:val="20"/>
              </w:rPr>
              <w:t xml:space="preserve">Aims, </w:t>
            </w:r>
            <w:proofErr w:type="gramStart"/>
            <w:r w:rsidR="00BC7CA3">
              <w:rPr>
                <w:color w:val="FFFF00"/>
                <w:sz w:val="20"/>
                <w:szCs w:val="20"/>
              </w:rPr>
              <w:t>Objectives</w:t>
            </w:r>
            <w:proofErr w:type="gramEnd"/>
            <w:r w:rsidR="00BC7CA3">
              <w:rPr>
                <w:color w:val="FFFF00"/>
                <w:sz w:val="20"/>
                <w:szCs w:val="20"/>
              </w:rPr>
              <w:t xml:space="preserve"> and Outcomes</w:t>
            </w:r>
            <w:r w:rsidRPr="00C5026F" w:rsidDel="00090017">
              <w:rPr>
                <w:color w:val="FFFF00"/>
                <w:sz w:val="20"/>
                <w:szCs w:val="20"/>
              </w:rPr>
              <w:t xml:space="preserve"> </w:t>
            </w:r>
          </w:p>
          <w:p w14:paraId="2DA50A55" w14:textId="77777777" w:rsidR="006A283E" w:rsidRPr="009E2A23" w:rsidRDefault="006A283E" w:rsidP="006A283E">
            <w:pPr>
              <w:pStyle w:val="BodyText"/>
              <w:jc w:val="both"/>
              <w:rPr>
                <w:color w:val="FFFFFF"/>
                <w:sz w:val="10"/>
                <w:szCs w:val="10"/>
                <w:u w:val="single"/>
              </w:rPr>
            </w:pPr>
          </w:p>
        </w:tc>
      </w:tr>
      <w:tr w:rsidR="006A283E" w:rsidRPr="009E2A23" w14:paraId="18F13A88" w14:textId="77777777" w:rsidTr="00836DDE">
        <w:tc>
          <w:tcPr>
            <w:tcW w:w="5000" w:type="pct"/>
            <w:tcBorders>
              <w:top w:val="single" w:sz="4" w:space="0" w:color="999999"/>
              <w:left w:val="single" w:sz="4" w:space="0" w:color="999999"/>
              <w:bottom w:val="single" w:sz="4" w:space="0" w:color="999999"/>
              <w:right w:val="single" w:sz="4" w:space="0" w:color="999999"/>
            </w:tcBorders>
          </w:tcPr>
          <w:p w14:paraId="4A8A92AC" w14:textId="170DF38C" w:rsidR="006A283E" w:rsidRDefault="006A283E" w:rsidP="006A283E">
            <w:pPr>
              <w:rPr>
                <w:rFonts w:ascii="Arial Bold" w:hAnsi="Arial Bold" w:cs="Arial Bold"/>
                <w:b/>
                <w:bCs/>
                <w:color w:val="339966"/>
                <w:sz w:val="20"/>
              </w:rPr>
            </w:pPr>
          </w:p>
          <w:p w14:paraId="77FA1F98" w14:textId="2A312E28" w:rsidR="00A67ACF" w:rsidRPr="00BC7CA3" w:rsidRDefault="002C2083" w:rsidP="006A283E">
            <w:pPr>
              <w:rPr>
                <w:rFonts w:ascii="Arial Bold" w:hAnsi="Arial Bold" w:cs="Arial Bold"/>
                <w:b/>
                <w:color w:val="339966"/>
                <w:sz w:val="20"/>
              </w:rPr>
            </w:pPr>
            <w:r w:rsidRPr="00BC7CA3">
              <w:rPr>
                <w:rFonts w:cs="Arial"/>
                <w:b/>
                <w:color w:val="339966"/>
                <w:sz w:val="20"/>
              </w:rPr>
              <w:t xml:space="preserve">2.1 </w:t>
            </w:r>
            <w:r w:rsidR="006A283E" w:rsidRPr="00BC7CA3">
              <w:rPr>
                <w:rFonts w:cs="Arial"/>
                <w:b/>
                <w:color w:val="339966"/>
                <w:sz w:val="20"/>
              </w:rPr>
              <w:t>Aims</w:t>
            </w:r>
            <w:r w:rsidR="006A283E" w:rsidRPr="00BC7CA3">
              <w:rPr>
                <w:rFonts w:ascii="Arial Bold" w:hAnsi="Arial Bold" w:cs="Arial Bold"/>
                <w:b/>
                <w:color w:val="339966"/>
                <w:sz w:val="20"/>
              </w:rPr>
              <w:t>:</w:t>
            </w:r>
          </w:p>
          <w:p w14:paraId="0707F634" w14:textId="77777777" w:rsidR="006A283E" w:rsidRPr="00CA2D5E" w:rsidRDefault="006A283E" w:rsidP="001F3A80">
            <w:pPr>
              <w:pStyle w:val="ListParagraph"/>
              <w:numPr>
                <w:ilvl w:val="0"/>
                <w:numId w:val="21"/>
              </w:numPr>
              <w:suppressAutoHyphens w:val="0"/>
              <w:spacing w:after="120"/>
              <w:ind w:right="204"/>
              <w:jc w:val="left"/>
              <w:rPr>
                <w:rFonts w:cs="Arial"/>
                <w:sz w:val="20"/>
              </w:rPr>
            </w:pPr>
            <w:r w:rsidRPr="00CA2D5E">
              <w:rPr>
                <w:rFonts w:cs="Arial"/>
                <w:sz w:val="20"/>
              </w:rPr>
              <w:t xml:space="preserve">To provide clean injecting equipment to injecting drug users (this relates to all relevant injecting paraphernalia not just needles) </w:t>
            </w:r>
          </w:p>
          <w:p w14:paraId="577CE8BB" w14:textId="77777777" w:rsidR="006A283E" w:rsidRPr="00CA2D5E" w:rsidRDefault="006A283E" w:rsidP="001F3A80">
            <w:pPr>
              <w:pStyle w:val="ListParagraph"/>
              <w:numPr>
                <w:ilvl w:val="0"/>
                <w:numId w:val="21"/>
              </w:numPr>
              <w:suppressAutoHyphens w:val="0"/>
              <w:spacing w:after="120"/>
              <w:ind w:right="204"/>
              <w:jc w:val="left"/>
              <w:rPr>
                <w:rFonts w:cs="Arial"/>
                <w:sz w:val="20"/>
              </w:rPr>
            </w:pPr>
            <w:r w:rsidRPr="00CA2D5E">
              <w:rPr>
                <w:rFonts w:cs="Arial"/>
                <w:sz w:val="20"/>
              </w:rPr>
              <w:t>To facilitate the collection and safe disposal of injecting-related waste</w:t>
            </w:r>
          </w:p>
          <w:p w14:paraId="6DF93579" w14:textId="1789D57A" w:rsidR="006A283E" w:rsidRPr="00CA2D5E" w:rsidRDefault="006A283E" w:rsidP="001F3A80">
            <w:pPr>
              <w:pStyle w:val="ListParagraph"/>
              <w:numPr>
                <w:ilvl w:val="0"/>
                <w:numId w:val="21"/>
              </w:numPr>
              <w:suppressAutoHyphens w:val="0"/>
              <w:spacing w:after="120"/>
              <w:ind w:right="204"/>
              <w:jc w:val="left"/>
              <w:rPr>
                <w:rFonts w:cs="Arial"/>
                <w:sz w:val="20"/>
              </w:rPr>
            </w:pPr>
            <w:r w:rsidRPr="00CA2D5E">
              <w:rPr>
                <w:rFonts w:cs="Arial"/>
                <w:sz w:val="20"/>
              </w:rPr>
              <w:t xml:space="preserve">To promote service user attendance at Naloxone (and overdose response) training sessions (at the time of writing these are provided by </w:t>
            </w:r>
            <w:proofErr w:type="gramStart"/>
            <w:r w:rsidR="00BC7CA3">
              <w:rPr>
                <w:rFonts w:cs="Arial"/>
                <w:sz w:val="20"/>
              </w:rPr>
              <w:t>We</w:t>
            </w:r>
            <w:proofErr w:type="gramEnd"/>
            <w:r w:rsidR="00BC7CA3">
              <w:rPr>
                <w:rFonts w:cs="Arial"/>
                <w:sz w:val="20"/>
              </w:rPr>
              <w:t xml:space="preserve"> Are With You</w:t>
            </w:r>
            <w:r w:rsidRPr="00CA2D5E">
              <w:rPr>
                <w:rFonts w:cs="Arial"/>
                <w:sz w:val="20"/>
              </w:rPr>
              <w:t xml:space="preserve">) and to advise service users to always carry Naloxone. </w:t>
            </w:r>
          </w:p>
          <w:p w14:paraId="0C8554ED" w14:textId="77777777" w:rsidR="006A283E" w:rsidRPr="00CA2D5E" w:rsidRDefault="006A283E" w:rsidP="001F3A80">
            <w:pPr>
              <w:pStyle w:val="BodyText"/>
              <w:numPr>
                <w:ilvl w:val="0"/>
                <w:numId w:val="21"/>
              </w:numPr>
              <w:spacing w:after="120"/>
              <w:ind w:right="204"/>
              <w:rPr>
                <w:sz w:val="20"/>
                <w:szCs w:val="20"/>
              </w:rPr>
            </w:pPr>
            <w:r w:rsidRPr="00CA2D5E">
              <w:rPr>
                <w:sz w:val="20"/>
                <w:szCs w:val="20"/>
              </w:rPr>
              <w:t>To engagement with injecting drug users who are treatment naïve and/or hard to reach and to refer into treatment services where possible</w:t>
            </w:r>
          </w:p>
          <w:p w14:paraId="01F243F5" w14:textId="77777777" w:rsidR="00CA2D5E" w:rsidRPr="00CA2D5E" w:rsidRDefault="00CA2D5E" w:rsidP="006A283E">
            <w:pPr>
              <w:rPr>
                <w:rFonts w:cs="Arial"/>
                <w:bCs/>
                <w:sz w:val="20"/>
              </w:rPr>
            </w:pPr>
          </w:p>
          <w:p w14:paraId="4129AA8C" w14:textId="7BF60271" w:rsidR="006A283E" w:rsidRPr="00BC7CA3" w:rsidRDefault="002C2083" w:rsidP="006A283E">
            <w:pPr>
              <w:rPr>
                <w:rFonts w:cs="Arial"/>
                <w:b/>
                <w:color w:val="339966"/>
                <w:sz w:val="20"/>
              </w:rPr>
            </w:pPr>
            <w:r w:rsidRPr="00BC7CA3">
              <w:rPr>
                <w:rFonts w:cs="Arial"/>
                <w:b/>
                <w:color w:val="339966"/>
                <w:sz w:val="20"/>
              </w:rPr>
              <w:t xml:space="preserve">2.2 </w:t>
            </w:r>
            <w:r w:rsidR="00CA2D5E" w:rsidRPr="00BC7CA3">
              <w:rPr>
                <w:rFonts w:cs="Arial"/>
                <w:b/>
                <w:color w:val="339966"/>
                <w:sz w:val="20"/>
              </w:rPr>
              <w:t>Objectives:</w:t>
            </w:r>
          </w:p>
          <w:p w14:paraId="6610B5B2" w14:textId="77777777" w:rsidR="00CA2D5E" w:rsidRPr="00CA2D5E" w:rsidRDefault="00CA2D5E" w:rsidP="001F3A80">
            <w:pPr>
              <w:pStyle w:val="ListParagraph"/>
              <w:numPr>
                <w:ilvl w:val="0"/>
                <w:numId w:val="21"/>
              </w:numPr>
              <w:suppressAutoHyphens w:val="0"/>
              <w:spacing w:after="120"/>
              <w:ind w:right="206"/>
              <w:jc w:val="left"/>
              <w:rPr>
                <w:rFonts w:cs="Arial"/>
                <w:sz w:val="20"/>
              </w:rPr>
            </w:pPr>
            <w:r w:rsidRPr="00CA2D5E">
              <w:rPr>
                <w:rFonts w:cs="Arial"/>
                <w:sz w:val="20"/>
              </w:rPr>
              <w:lastRenderedPageBreak/>
              <w:t>Support the Council in achieving its goal of reducing the level of drug related harm, including drug related deaths.</w:t>
            </w:r>
          </w:p>
          <w:p w14:paraId="2A176759" w14:textId="7743E8E3" w:rsidR="00CA2D5E" w:rsidRPr="00CA2D5E" w:rsidRDefault="00CA2D5E" w:rsidP="001F3A80">
            <w:pPr>
              <w:pStyle w:val="ListParagraph"/>
              <w:numPr>
                <w:ilvl w:val="0"/>
                <w:numId w:val="21"/>
              </w:numPr>
              <w:suppressAutoHyphens w:val="0"/>
              <w:spacing w:after="120"/>
              <w:ind w:right="206"/>
              <w:jc w:val="left"/>
              <w:rPr>
                <w:rFonts w:cs="Arial"/>
                <w:sz w:val="20"/>
              </w:rPr>
            </w:pPr>
            <w:r w:rsidRPr="00CA2D5E">
              <w:rPr>
                <w:rFonts w:cs="Arial"/>
                <w:sz w:val="20"/>
              </w:rPr>
              <w:t xml:space="preserve">Support the Council </w:t>
            </w:r>
            <w:r w:rsidR="00CC3831">
              <w:rPr>
                <w:rFonts w:cs="Arial"/>
                <w:sz w:val="20"/>
              </w:rPr>
              <w:t xml:space="preserve">and Public Health England </w:t>
            </w:r>
            <w:r w:rsidR="00DF5DF0">
              <w:rPr>
                <w:rFonts w:cs="Arial"/>
                <w:sz w:val="20"/>
              </w:rPr>
              <w:t>i</w:t>
            </w:r>
            <w:r w:rsidR="00CC3831">
              <w:rPr>
                <w:rFonts w:cs="Arial"/>
                <w:sz w:val="20"/>
              </w:rPr>
              <w:t>n containing and reducing blood viruses to meet the World Health Authority target to eradicate Hep C by 2030</w:t>
            </w:r>
            <w:r w:rsidRPr="00CA2D5E">
              <w:rPr>
                <w:rFonts w:cs="Arial"/>
                <w:sz w:val="20"/>
              </w:rPr>
              <w:t xml:space="preserve">. </w:t>
            </w:r>
          </w:p>
          <w:p w14:paraId="5EE49A92" w14:textId="77777777" w:rsidR="00CA2D5E" w:rsidRPr="00CA2D5E" w:rsidRDefault="00CA2D5E" w:rsidP="001F3A80">
            <w:pPr>
              <w:pStyle w:val="ListParagraph"/>
              <w:numPr>
                <w:ilvl w:val="0"/>
                <w:numId w:val="21"/>
              </w:numPr>
              <w:suppressAutoHyphens w:val="0"/>
              <w:spacing w:after="120"/>
              <w:ind w:right="206"/>
              <w:jc w:val="left"/>
              <w:rPr>
                <w:rFonts w:cs="Arial"/>
                <w:sz w:val="20"/>
              </w:rPr>
            </w:pPr>
            <w:r w:rsidRPr="00CA2D5E">
              <w:rPr>
                <w:rFonts w:cs="Arial"/>
                <w:sz w:val="20"/>
              </w:rPr>
              <w:t>Protect the health of North Somerset’s population (both those using and those not using drugs) in relation to the risk of infection related to injected drug use.</w:t>
            </w:r>
          </w:p>
          <w:p w14:paraId="030AB9B2" w14:textId="77777777" w:rsidR="00CA2D5E" w:rsidRPr="00CA2D5E" w:rsidRDefault="00CA2D5E" w:rsidP="001F3A80">
            <w:pPr>
              <w:pStyle w:val="ListParagraph"/>
              <w:numPr>
                <w:ilvl w:val="0"/>
                <w:numId w:val="21"/>
              </w:numPr>
              <w:suppressAutoHyphens w:val="0"/>
              <w:spacing w:after="120"/>
              <w:ind w:right="206"/>
              <w:jc w:val="left"/>
              <w:rPr>
                <w:rFonts w:cs="Arial"/>
                <w:sz w:val="20"/>
              </w:rPr>
            </w:pPr>
            <w:r w:rsidRPr="00CA2D5E">
              <w:rPr>
                <w:rFonts w:cs="Arial"/>
                <w:sz w:val="20"/>
              </w:rPr>
              <w:t>Increase the number of individuals who have adopted safer injecting practices.</w:t>
            </w:r>
          </w:p>
          <w:p w14:paraId="4D828F4B" w14:textId="77777777" w:rsidR="00CA2D5E" w:rsidRPr="00CA2D5E" w:rsidRDefault="00CA2D5E" w:rsidP="001F3A80">
            <w:pPr>
              <w:pStyle w:val="ListParagraph"/>
              <w:numPr>
                <w:ilvl w:val="0"/>
                <w:numId w:val="21"/>
              </w:numPr>
              <w:suppressAutoHyphens w:val="0"/>
              <w:spacing w:after="120"/>
              <w:ind w:right="206"/>
              <w:jc w:val="left"/>
              <w:rPr>
                <w:rFonts w:cs="Arial"/>
                <w:sz w:val="20"/>
              </w:rPr>
            </w:pPr>
            <w:r w:rsidRPr="00CA2D5E">
              <w:rPr>
                <w:rFonts w:cs="Arial"/>
                <w:sz w:val="20"/>
              </w:rPr>
              <w:t>Increase the number of vulnerable individuals accessing treatment for health problems.</w:t>
            </w:r>
          </w:p>
          <w:p w14:paraId="46F3B883" w14:textId="23E944AE" w:rsidR="001C3B48" w:rsidRPr="00CC3831" w:rsidRDefault="00CA2D5E" w:rsidP="001F3A80">
            <w:pPr>
              <w:pStyle w:val="ListParagraph"/>
              <w:numPr>
                <w:ilvl w:val="0"/>
                <w:numId w:val="21"/>
              </w:numPr>
              <w:suppressAutoHyphens w:val="0"/>
              <w:spacing w:after="120"/>
              <w:jc w:val="left"/>
              <w:rPr>
                <w:rFonts w:cs="Arial"/>
                <w:sz w:val="20"/>
              </w:rPr>
            </w:pPr>
            <w:r w:rsidRPr="00CA2D5E">
              <w:rPr>
                <w:rFonts w:cs="Arial"/>
                <w:sz w:val="20"/>
              </w:rPr>
              <w:t xml:space="preserve">Reduce the amount of "injecting related litter" (i.e. needles and other associated paraphernalia in public spaces). </w:t>
            </w:r>
          </w:p>
          <w:p w14:paraId="53231B2E" w14:textId="77777777" w:rsidR="00CA2D5E" w:rsidRPr="00CA2D5E" w:rsidRDefault="00CA2D5E" w:rsidP="006A283E">
            <w:pPr>
              <w:rPr>
                <w:rFonts w:cs="Arial"/>
                <w:bCs/>
                <w:sz w:val="20"/>
                <w:u w:val="single"/>
              </w:rPr>
            </w:pPr>
          </w:p>
          <w:p w14:paraId="400ACCB7" w14:textId="58C9EC15" w:rsidR="006A283E" w:rsidRDefault="006A283E" w:rsidP="006A283E">
            <w:pPr>
              <w:rPr>
                <w:rFonts w:cs="Arial"/>
                <w:b/>
                <w:bCs/>
                <w:color w:val="339966"/>
                <w:sz w:val="20"/>
              </w:rPr>
            </w:pPr>
            <w:r>
              <w:rPr>
                <w:rFonts w:cs="Arial"/>
                <w:b/>
                <w:bCs/>
                <w:color w:val="339966"/>
                <w:sz w:val="20"/>
              </w:rPr>
              <w:t>2</w:t>
            </w:r>
            <w:r w:rsidRPr="00AE0CA3">
              <w:rPr>
                <w:rFonts w:cs="Arial"/>
                <w:b/>
                <w:bCs/>
                <w:color w:val="339966"/>
                <w:sz w:val="20"/>
              </w:rPr>
              <w:t>.</w:t>
            </w:r>
            <w:r w:rsidR="00BC7CA3">
              <w:rPr>
                <w:rFonts w:cs="Arial"/>
                <w:b/>
                <w:bCs/>
                <w:color w:val="339966"/>
                <w:sz w:val="20"/>
              </w:rPr>
              <w:t>3</w:t>
            </w:r>
            <w:r w:rsidRPr="00AE0CA3">
              <w:rPr>
                <w:rFonts w:cs="Arial"/>
                <w:b/>
                <w:bCs/>
                <w:color w:val="339966"/>
                <w:sz w:val="20"/>
              </w:rPr>
              <w:t xml:space="preserve"> Service description/pathway</w:t>
            </w:r>
          </w:p>
          <w:p w14:paraId="0C5885B6" w14:textId="55B3928F" w:rsidR="00CA2D5E" w:rsidRPr="00CC3831" w:rsidRDefault="00CA2D5E" w:rsidP="00CA2D5E">
            <w:pPr>
              <w:jc w:val="left"/>
              <w:rPr>
                <w:rFonts w:cs="Arial"/>
                <w:sz w:val="20"/>
                <w:u w:val="single"/>
              </w:rPr>
            </w:pPr>
            <w:r w:rsidRPr="00CC3831">
              <w:rPr>
                <w:rFonts w:cs="Arial"/>
                <w:sz w:val="20"/>
                <w:u w:val="single"/>
              </w:rPr>
              <w:t>The pharmacies/pharmacists providing this service will:</w:t>
            </w:r>
          </w:p>
          <w:p w14:paraId="3B0E57B5" w14:textId="77777777" w:rsidR="00CA2D5E" w:rsidRPr="00CA2D5E" w:rsidRDefault="00CA2D5E" w:rsidP="001F3A80">
            <w:pPr>
              <w:pStyle w:val="ListParagraph"/>
              <w:numPr>
                <w:ilvl w:val="0"/>
                <w:numId w:val="21"/>
              </w:numPr>
              <w:suppressAutoHyphens w:val="0"/>
              <w:spacing w:after="120"/>
              <w:ind w:right="204"/>
              <w:jc w:val="left"/>
              <w:rPr>
                <w:rFonts w:cs="Arial"/>
                <w:sz w:val="20"/>
              </w:rPr>
            </w:pPr>
            <w:r w:rsidRPr="00CA2D5E">
              <w:rPr>
                <w:rFonts w:cs="Arial"/>
                <w:sz w:val="20"/>
              </w:rPr>
              <w:t>Ensure all staff involved in the provision of the PNX Service comply with and operate within the confines of this Service Specification</w:t>
            </w:r>
          </w:p>
          <w:p w14:paraId="30478443" w14:textId="77777777" w:rsidR="00CA2D5E" w:rsidRPr="00CA2D5E" w:rsidRDefault="00CA2D5E" w:rsidP="001F3A80">
            <w:pPr>
              <w:numPr>
                <w:ilvl w:val="0"/>
                <w:numId w:val="21"/>
              </w:numPr>
              <w:suppressAutoHyphens w:val="0"/>
              <w:spacing w:after="120"/>
              <w:ind w:right="204"/>
              <w:jc w:val="left"/>
              <w:rPr>
                <w:rFonts w:cs="Arial"/>
                <w:sz w:val="20"/>
              </w:rPr>
            </w:pPr>
            <w:r w:rsidRPr="00CA2D5E">
              <w:rPr>
                <w:rFonts w:cs="Arial"/>
                <w:sz w:val="20"/>
              </w:rPr>
              <w:t xml:space="preserve">Ensure all staff involved in the provision of the PNX Service have received training on all associated activities. Staff will be proficient in assessing and responding to the injecting related needs of Service Users; they will provide correct and up to date advice on safer injecting practices; they will be able to minimise the risk associated with the handling of returned used injecting equipment and will follow the correct disposal procedures. The Council may request to see evidence that all relevant staff have completed the necessary training. The Provider will submit this to the Authority’s Lead (see top of document) within 2 Business Days of the request being received. </w:t>
            </w:r>
          </w:p>
          <w:p w14:paraId="42A9B915" w14:textId="77777777" w:rsidR="00CA2D5E" w:rsidRPr="00CA2D5E" w:rsidRDefault="00CA2D5E" w:rsidP="001F3A80">
            <w:pPr>
              <w:numPr>
                <w:ilvl w:val="0"/>
                <w:numId w:val="21"/>
              </w:numPr>
              <w:suppressAutoHyphens w:val="0"/>
              <w:spacing w:after="120"/>
              <w:ind w:right="204"/>
              <w:jc w:val="left"/>
              <w:rPr>
                <w:rFonts w:cs="Arial"/>
                <w:sz w:val="20"/>
              </w:rPr>
            </w:pPr>
            <w:r w:rsidRPr="00CA2D5E">
              <w:rPr>
                <w:rFonts w:cs="Arial"/>
                <w:sz w:val="20"/>
              </w:rPr>
              <w:t>Attend external training or events hosted by the Council providing:</w:t>
            </w:r>
          </w:p>
          <w:p w14:paraId="042E440F" w14:textId="1F00569A" w:rsidR="00CA2D5E" w:rsidRPr="00CA2D5E" w:rsidRDefault="00CA2D5E" w:rsidP="001F3A80">
            <w:pPr>
              <w:numPr>
                <w:ilvl w:val="1"/>
                <w:numId w:val="21"/>
              </w:numPr>
              <w:suppressAutoHyphens w:val="0"/>
              <w:spacing w:after="120"/>
              <w:ind w:right="204"/>
              <w:jc w:val="left"/>
              <w:rPr>
                <w:rFonts w:cs="Arial"/>
                <w:sz w:val="20"/>
              </w:rPr>
            </w:pPr>
            <w:r w:rsidRPr="00CA2D5E">
              <w:rPr>
                <w:rFonts w:cs="Arial"/>
                <w:sz w:val="20"/>
              </w:rPr>
              <w:t>a minimum of 4 weeks’ notice has been given</w:t>
            </w:r>
            <w:r w:rsidR="00BC7CA3">
              <w:rPr>
                <w:rFonts w:cs="Arial"/>
                <w:sz w:val="20"/>
              </w:rPr>
              <w:t>.</w:t>
            </w:r>
            <w:r w:rsidRPr="00CA2D5E">
              <w:rPr>
                <w:rFonts w:cs="Arial"/>
                <w:sz w:val="20"/>
              </w:rPr>
              <w:t xml:space="preserve"> </w:t>
            </w:r>
          </w:p>
          <w:p w14:paraId="7DF5965D" w14:textId="44B2EB79" w:rsidR="00CA2D5E" w:rsidRPr="00CA2D5E" w:rsidRDefault="00CA2D5E" w:rsidP="001F3A80">
            <w:pPr>
              <w:numPr>
                <w:ilvl w:val="1"/>
                <w:numId w:val="21"/>
              </w:numPr>
              <w:suppressAutoHyphens w:val="0"/>
              <w:spacing w:after="120"/>
              <w:ind w:right="204"/>
              <w:jc w:val="left"/>
              <w:rPr>
                <w:rFonts w:cs="Arial"/>
                <w:sz w:val="20"/>
              </w:rPr>
            </w:pPr>
            <w:r w:rsidRPr="00CA2D5E">
              <w:rPr>
                <w:rFonts w:cs="Arial"/>
                <w:sz w:val="20"/>
              </w:rPr>
              <w:t>events do not occur more frequently one per year</w:t>
            </w:r>
            <w:r w:rsidR="00BC7CA3">
              <w:rPr>
                <w:rFonts w:cs="Arial"/>
                <w:sz w:val="20"/>
              </w:rPr>
              <w:t>.</w:t>
            </w:r>
            <w:r w:rsidRPr="00CA2D5E">
              <w:rPr>
                <w:rFonts w:cs="Arial"/>
                <w:sz w:val="20"/>
              </w:rPr>
              <w:t xml:space="preserve"> </w:t>
            </w:r>
          </w:p>
          <w:p w14:paraId="5196605A" w14:textId="2EC9FDDB" w:rsidR="00CA2D5E" w:rsidRPr="00CA2D5E" w:rsidRDefault="00CA2D5E" w:rsidP="001F3A80">
            <w:pPr>
              <w:numPr>
                <w:ilvl w:val="0"/>
                <w:numId w:val="21"/>
              </w:numPr>
              <w:suppressAutoHyphens w:val="0"/>
              <w:spacing w:after="120"/>
              <w:ind w:right="204"/>
              <w:jc w:val="left"/>
              <w:rPr>
                <w:rFonts w:cs="Arial"/>
                <w:sz w:val="20"/>
              </w:rPr>
            </w:pPr>
            <w:r w:rsidRPr="00CA2D5E">
              <w:rPr>
                <w:rFonts w:cs="Arial"/>
                <w:sz w:val="20"/>
              </w:rPr>
              <w:t xml:space="preserve">Ensure that all appropriate protective equipment, including gloves, </w:t>
            </w:r>
            <w:proofErr w:type="gramStart"/>
            <w:r w:rsidRPr="00CA2D5E">
              <w:rPr>
                <w:rFonts w:cs="Arial"/>
                <w:sz w:val="20"/>
              </w:rPr>
              <w:t>overalls</w:t>
            </w:r>
            <w:proofErr w:type="gramEnd"/>
            <w:r w:rsidRPr="00CA2D5E">
              <w:rPr>
                <w:rFonts w:cs="Arial"/>
                <w:sz w:val="20"/>
              </w:rPr>
              <w:t xml:space="preserve"> and materials to deal with spillages, is available close to the storage site and is disposed of appropriately</w:t>
            </w:r>
            <w:r w:rsidR="00BC7CA3">
              <w:rPr>
                <w:rFonts w:cs="Arial"/>
                <w:sz w:val="20"/>
              </w:rPr>
              <w:t>.</w:t>
            </w:r>
          </w:p>
          <w:p w14:paraId="10FB2C33" w14:textId="6590D64D" w:rsidR="00CA2D5E" w:rsidRPr="00CA2D5E" w:rsidRDefault="00CA2D5E" w:rsidP="001F3A80">
            <w:pPr>
              <w:numPr>
                <w:ilvl w:val="0"/>
                <w:numId w:val="21"/>
              </w:numPr>
              <w:suppressAutoHyphens w:val="0"/>
              <w:spacing w:after="120"/>
              <w:ind w:right="204"/>
              <w:jc w:val="left"/>
              <w:rPr>
                <w:rFonts w:cs="Arial"/>
                <w:sz w:val="20"/>
              </w:rPr>
            </w:pPr>
            <w:r w:rsidRPr="00CA2D5E">
              <w:rPr>
                <w:rFonts w:cs="Arial"/>
                <w:sz w:val="20"/>
              </w:rPr>
              <w:t xml:space="preserve">Ensure that an </w:t>
            </w:r>
            <w:r w:rsidR="00BC7CA3" w:rsidRPr="00CA2D5E">
              <w:rPr>
                <w:rFonts w:cs="Arial"/>
                <w:sz w:val="20"/>
              </w:rPr>
              <w:t>up-to-date</w:t>
            </w:r>
            <w:r w:rsidRPr="00CA2D5E">
              <w:rPr>
                <w:rFonts w:cs="Arial"/>
                <w:sz w:val="20"/>
              </w:rPr>
              <w:t xml:space="preserve"> needle stick injury procedure is in operation and that all staff are familiar with, and comply with, the procedure</w:t>
            </w:r>
            <w:r w:rsidR="00BC7CA3">
              <w:rPr>
                <w:rFonts w:cs="Arial"/>
                <w:sz w:val="20"/>
              </w:rPr>
              <w:t>.</w:t>
            </w:r>
          </w:p>
          <w:p w14:paraId="0EDB494B" w14:textId="007A4675" w:rsidR="00CA2D5E" w:rsidRPr="00CA2D5E" w:rsidRDefault="00CA2D5E" w:rsidP="001F3A80">
            <w:pPr>
              <w:numPr>
                <w:ilvl w:val="0"/>
                <w:numId w:val="21"/>
              </w:numPr>
              <w:suppressAutoHyphens w:val="0"/>
              <w:spacing w:after="120"/>
              <w:ind w:right="204"/>
              <w:jc w:val="left"/>
              <w:rPr>
                <w:rFonts w:cs="Arial"/>
                <w:sz w:val="20"/>
              </w:rPr>
            </w:pPr>
            <w:r w:rsidRPr="00CA2D5E">
              <w:rPr>
                <w:rFonts w:cs="Arial"/>
                <w:sz w:val="20"/>
              </w:rPr>
              <w:t>Ensure that all other protocols relevant to the safe and effective running of a health care service must be in place and followed. This includes protocols for such things as infection control, and medication storage</w:t>
            </w:r>
            <w:r w:rsidR="00BC7CA3">
              <w:rPr>
                <w:rFonts w:cs="Arial"/>
                <w:sz w:val="20"/>
              </w:rPr>
              <w:t>.</w:t>
            </w:r>
          </w:p>
          <w:p w14:paraId="0D976E88" w14:textId="6DED9AFE" w:rsidR="00CA2D5E" w:rsidRPr="00CA2D5E" w:rsidRDefault="00CA2D5E" w:rsidP="001F3A80">
            <w:pPr>
              <w:pStyle w:val="ListParagraph"/>
              <w:numPr>
                <w:ilvl w:val="0"/>
                <w:numId w:val="21"/>
              </w:numPr>
              <w:suppressAutoHyphens w:val="0"/>
              <w:spacing w:after="120"/>
              <w:ind w:right="204"/>
              <w:jc w:val="left"/>
              <w:rPr>
                <w:rFonts w:cs="Arial"/>
                <w:sz w:val="20"/>
              </w:rPr>
            </w:pPr>
            <w:r w:rsidRPr="00CA2D5E">
              <w:rPr>
                <w:rFonts w:cs="Arial"/>
                <w:sz w:val="20"/>
              </w:rPr>
              <w:t xml:space="preserve">Register and record each Service User on PharmOutcomes with a unique ID number for each client using the following format (Gender, First Initial, Surname Initial, month of birth, year of birth – for example Donald Duck born 9 June 1934 would be MDD61934). This will allow commissioners to </w:t>
            </w:r>
            <w:proofErr w:type="gramStart"/>
            <w:r w:rsidRPr="00CA2D5E">
              <w:rPr>
                <w:rFonts w:cs="Arial"/>
                <w:sz w:val="20"/>
              </w:rPr>
              <w:t>more accurately monitor service provision</w:t>
            </w:r>
            <w:proofErr w:type="gramEnd"/>
            <w:r w:rsidRPr="00CA2D5E">
              <w:rPr>
                <w:rFonts w:cs="Arial"/>
                <w:sz w:val="20"/>
              </w:rPr>
              <w:t xml:space="preserve"> for clients who access more than one service without identifying individuals</w:t>
            </w:r>
            <w:r w:rsidR="00BC7CA3">
              <w:rPr>
                <w:rFonts w:cs="Arial"/>
                <w:sz w:val="20"/>
              </w:rPr>
              <w:t>.</w:t>
            </w:r>
          </w:p>
          <w:p w14:paraId="6B48DA9F" w14:textId="6D72AD3C" w:rsidR="00CA2D5E" w:rsidRPr="00CA2D5E" w:rsidRDefault="00CA2D5E" w:rsidP="001F3A80">
            <w:pPr>
              <w:pStyle w:val="ListParagraph"/>
              <w:numPr>
                <w:ilvl w:val="0"/>
                <w:numId w:val="21"/>
              </w:numPr>
              <w:suppressAutoHyphens w:val="0"/>
              <w:spacing w:after="120"/>
              <w:ind w:right="204"/>
              <w:jc w:val="left"/>
              <w:rPr>
                <w:rFonts w:cs="Arial"/>
                <w:sz w:val="20"/>
              </w:rPr>
            </w:pPr>
            <w:r w:rsidRPr="00CA2D5E">
              <w:rPr>
                <w:rFonts w:cs="Arial"/>
                <w:sz w:val="20"/>
              </w:rPr>
              <w:t xml:space="preserve">Read and respond to all messages sent by North Somerset Council in relation to </w:t>
            </w:r>
            <w:proofErr w:type="gramStart"/>
            <w:r w:rsidRPr="00CA2D5E">
              <w:rPr>
                <w:rFonts w:cs="Arial"/>
                <w:sz w:val="20"/>
              </w:rPr>
              <w:t>supervised</w:t>
            </w:r>
            <w:proofErr w:type="gramEnd"/>
            <w:r w:rsidRPr="00CA2D5E">
              <w:rPr>
                <w:rFonts w:cs="Arial"/>
                <w:sz w:val="20"/>
              </w:rPr>
              <w:t xml:space="preserve"> consumption as required including recording any actions taken</w:t>
            </w:r>
          </w:p>
          <w:p w14:paraId="64F7FCBF" w14:textId="6361CB95" w:rsidR="00CA2D5E" w:rsidRPr="00CA2D5E" w:rsidRDefault="00CA2D5E" w:rsidP="001F3A80">
            <w:pPr>
              <w:pStyle w:val="ListParagraph"/>
              <w:numPr>
                <w:ilvl w:val="0"/>
                <w:numId w:val="21"/>
              </w:numPr>
              <w:suppressAutoHyphens w:val="0"/>
              <w:spacing w:after="120"/>
              <w:ind w:right="204"/>
              <w:jc w:val="left"/>
              <w:rPr>
                <w:rFonts w:cs="Arial"/>
                <w:sz w:val="20"/>
              </w:rPr>
            </w:pPr>
            <w:proofErr w:type="gramStart"/>
            <w:r w:rsidRPr="00CA2D5E">
              <w:rPr>
                <w:rFonts w:cs="Arial"/>
                <w:sz w:val="20"/>
              </w:rPr>
              <w:t>Make available appropriate injecting and general health related information to Service Users at all times</w:t>
            </w:r>
            <w:proofErr w:type="gramEnd"/>
            <w:r w:rsidRPr="00CA2D5E">
              <w:rPr>
                <w:rFonts w:cs="Arial"/>
                <w:sz w:val="20"/>
              </w:rPr>
              <w:t xml:space="preserve"> and staff must promote/encourage Service Users to follow the advice set out within the information</w:t>
            </w:r>
            <w:r w:rsidR="00BC7CA3">
              <w:rPr>
                <w:rFonts w:cs="Arial"/>
                <w:sz w:val="20"/>
              </w:rPr>
              <w:t>.</w:t>
            </w:r>
          </w:p>
          <w:p w14:paraId="18A81650" w14:textId="39CBF390" w:rsidR="00CA2D5E" w:rsidRPr="00CA2D5E" w:rsidRDefault="00CA2D5E" w:rsidP="001F3A80">
            <w:pPr>
              <w:pStyle w:val="ListParagraph"/>
              <w:numPr>
                <w:ilvl w:val="0"/>
                <w:numId w:val="21"/>
              </w:numPr>
              <w:suppressAutoHyphens w:val="0"/>
              <w:spacing w:after="120"/>
              <w:ind w:right="204"/>
              <w:jc w:val="left"/>
              <w:rPr>
                <w:rFonts w:cs="Arial"/>
                <w:sz w:val="20"/>
              </w:rPr>
            </w:pPr>
            <w:r w:rsidRPr="00CA2D5E">
              <w:rPr>
                <w:rFonts w:cs="Arial"/>
                <w:sz w:val="20"/>
              </w:rPr>
              <w:t>Share relevant information with other health care professionals and agencies. Any information sharing will comply with locally determined confidentiality arrangements</w:t>
            </w:r>
            <w:r w:rsidR="00BC7CA3">
              <w:rPr>
                <w:rFonts w:cs="Arial"/>
                <w:sz w:val="20"/>
              </w:rPr>
              <w:t>.</w:t>
            </w:r>
          </w:p>
          <w:p w14:paraId="036CB643" w14:textId="77777777" w:rsidR="00CA2D5E" w:rsidRPr="00CA2D5E" w:rsidRDefault="00CA2D5E" w:rsidP="001F3A80">
            <w:pPr>
              <w:pStyle w:val="ListParagraph"/>
              <w:numPr>
                <w:ilvl w:val="0"/>
                <w:numId w:val="21"/>
              </w:numPr>
              <w:suppressAutoHyphens w:val="0"/>
              <w:spacing w:after="120"/>
              <w:ind w:right="204"/>
              <w:jc w:val="left"/>
              <w:rPr>
                <w:rFonts w:cs="Arial"/>
                <w:sz w:val="20"/>
              </w:rPr>
            </w:pPr>
            <w:r w:rsidRPr="00CA2D5E">
              <w:rPr>
                <w:rFonts w:cs="Arial"/>
                <w:sz w:val="20"/>
              </w:rPr>
              <w:t xml:space="preserve">Distribute, at the request of North Somerset Council, additional material designed to improve the health and social functioning of Service Users </w:t>
            </w:r>
          </w:p>
          <w:p w14:paraId="7C98C87B" w14:textId="604BAC62" w:rsidR="00CA2D5E" w:rsidRPr="00CA2D5E" w:rsidRDefault="00CA2D5E" w:rsidP="001F3A80">
            <w:pPr>
              <w:numPr>
                <w:ilvl w:val="0"/>
                <w:numId w:val="21"/>
              </w:numPr>
              <w:suppressAutoHyphens w:val="0"/>
              <w:spacing w:after="120"/>
              <w:ind w:right="204"/>
              <w:jc w:val="left"/>
              <w:rPr>
                <w:rFonts w:cs="Arial"/>
                <w:sz w:val="20"/>
              </w:rPr>
            </w:pPr>
            <w:r w:rsidRPr="00CA2D5E">
              <w:rPr>
                <w:rFonts w:cs="Arial"/>
                <w:sz w:val="20"/>
              </w:rPr>
              <w:lastRenderedPageBreak/>
              <w:t>Display the international needle exchange symbol in a position which is visible to the public prior to entering the pharmacy</w:t>
            </w:r>
            <w:r w:rsidR="00BC7CA3">
              <w:rPr>
                <w:rFonts w:cs="Arial"/>
                <w:sz w:val="20"/>
              </w:rPr>
              <w:t>.</w:t>
            </w:r>
          </w:p>
          <w:p w14:paraId="0C5013F8" w14:textId="77777777" w:rsidR="00CA2D5E" w:rsidRPr="00CA2D5E" w:rsidRDefault="00CA2D5E" w:rsidP="001F3A80">
            <w:pPr>
              <w:numPr>
                <w:ilvl w:val="0"/>
                <w:numId w:val="21"/>
              </w:numPr>
              <w:suppressAutoHyphens w:val="0"/>
              <w:spacing w:after="120"/>
              <w:ind w:right="204"/>
              <w:jc w:val="left"/>
              <w:rPr>
                <w:rFonts w:cs="Arial"/>
                <w:sz w:val="20"/>
              </w:rPr>
            </w:pPr>
            <w:r w:rsidRPr="00CA2D5E">
              <w:rPr>
                <w:rFonts w:cs="Arial"/>
                <w:sz w:val="20"/>
              </w:rPr>
              <w:t>Offer immunisation for Hepatitis B to those staff involved in the delivery of the PNX Service (any associated costs will be covered by the Provider).</w:t>
            </w:r>
          </w:p>
          <w:p w14:paraId="4D251845" w14:textId="522119F8" w:rsidR="001F3A80" w:rsidRPr="00687227" w:rsidRDefault="000D22F3" w:rsidP="001F3A80">
            <w:pPr>
              <w:pStyle w:val="ListParagraph"/>
              <w:numPr>
                <w:ilvl w:val="0"/>
                <w:numId w:val="21"/>
              </w:numPr>
              <w:suppressAutoHyphens w:val="0"/>
              <w:spacing w:after="120"/>
              <w:ind w:right="206"/>
              <w:jc w:val="left"/>
              <w:rPr>
                <w:rFonts w:cs="Arial"/>
                <w:bCs/>
                <w:sz w:val="20"/>
                <w:u w:val="single"/>
              </w:rPr>
            </w:pPr>
            <w:r>
              <w:rPr>
                <w:rFonts w:cs="Arial"/>
                <w:sz w:val="20"/>
              </w:rPr>
              <w:t>Report any</w:t>
            </w:r>
            <w:r w:rsidR="001F3A80" w:rsidRPr="00687227">
              <w:rPr>
                <w:rFonts w:cs="Arial"/>
                <w:sz w:val="20"/>
              </w:rPr>
              <w:t xml:space="preserve"> critical incidents </w:t>
            </w:r>
            <w:r>
              <w:rPr>
                <w:rFonts w:cs="Arial"/>
                <w:sz w:val="20"/>
              </w:rPr>
              <w:t>related to the needle exchange service to the Council in line with the Council’s critical incident protocol</w:t>
            </w:r>
            <w:r w:rsidR="00BC7CA3">
              <w:rPr>
                <w:rFonts w:cs="Arial"/>
                <w:sz w:val="20"/>
              </w:rPr>
              <w:t>.</w:t>
            </w:r>
          </w:p>
          <w:p w14:paraId="6C3E1FAA" w14:textId="77777777" w:rsidR="002C2083" w:rsidRDefault="002C2083" w:rsidP="006A283E">
            <w:pPr>
              <w:rPr>
                <w:rFonts w:cs="Arial"/>
                <w:bCs/>
                <w:sz w:val="20"/>
                <w:u w:val="single"/>
              </w:rPr>
            </w:pPr>
          </w:p>
          <w:p w14:paraId="795C57D4" w14:textId="7E7295A2" w:rsidR="006A283E" w:rsidRPr="002C2083" w:rsidRDefault="002C2083" w:rsidP="006A283E">
            <w:pPr>
              <w:rPr>
                <w:rFonts w:cs="Arial"/>
                <w:bCs/>
                <w:color w:val="339966"/>
                <w:sz w:val="20"/>
              </w:rPr>
            </w:pPr>
            <w:r w:rsidRPr="00BC7CA3">
              <w:rPr>
                <w:rFonts w:cs="Arial"/>
                <w:b/>
                <w:color w:val="339966"/>
                <w:sz w:val="20"/>
              </w:rPr>
              <w:t>2.</w:t>
            </w:r>
            <w:r w:rsidR="00BC7CA3" w:rsidRPr="00BC7CA3">
              <w:rPr>
                <w:rFonts w:cs="Arial"/>
                <w:b/>
                <w:color w:val="339966"/>
                <w:sz w:val="20"/>
              </w:rPr>
              <w:t>4</w:t>
            </w:r>
            <w:r w:rsidRPr="00BC7CA3">
              <w:rPr>
                <w:rFonts w:cs="Arial"/>
                <w:b/>
                <w:color w:val="339966"/>
                <w:sz w:val="20"/>
              </w:rPr>
              <w:t xml:space="preserve"> Quantities and proxy collections</w:t>
            </w:r>
            <w:r w:rsidRPr="002C2083">
              <w:rPr>
                <w:rFonts w:cs="Arial"/>
                <w:bCs/>
                <w:color w:val="339966"/>
                <w:sz w:val="20"/>
              </w:rPr>
              <w:t>:</w:t>
            </w:r>
          </w:p>
          <w:p w14:paraId="42B7C395" w14:textId="073456BA" w:rsidR="002C2083" w:rsidRPr="002C2083" w:rsidRDefault="002C2083" w:rsidP="002C2083">
            <w:pPr>
              <w:autoSpaceDE w:val="0"/>
              <w:autoSpaceDN w:val="0"/>
              <w:adjustRightInd w:val="0"/>
              <w:rPr>
                <w:rFonts w:cs="Arial"/>
                <w:bCs/>
                <w:sz w:val="20"/>
              </w:rPr>
            </w:pPr>
            <w:r w:rsidRPr="002C2083">
              <w:rPr>
                <w:rFonts w:cs="Arial"/>
                <w:bCs/>
                <w:sz w:val="20"/>
              </w:rPr>
              <w:t xml:space="preserve">In keeping with the goals of minimising the re-use and sharing of injecting paraphernalia there will be no limitations imposed on the </w:t>
            </w:r>
            <w:r w:rsidR="00BC7CA3" w:rsidRPr="002C2083">
              <w:rPr>
                <w:rFonts w:cs="Arial"/>
                <w:bCs/>
                <w:sz w:val="20"/>
              </w:rPr>
              <w:t>number</w:t>
            </w:r>
            <w:r w:rsidRPr="002C2083">
              <w:rPr>
                <w:rFonts w:cs="Arial"/>
                <w:bCs/>
                <w:sz w:val="20"/>
              </w:rPr>
              <w:t xml:space="preserve"> of packs provided to Service Users. However, Staff will encourage Service Users to return used items at the same volume as the unused items they are receiving, i.e. 1 return for 1 supply. Failure to return items will not prevent a Service User from receiving unused items.</w:t>
            </w:r>
          </w:p>
          <w:p w14:paraId="1ED6F6E2" w14:textId="77777777" w:rsidR="002C2083" w:rsidRPr="002C2083" w:rsidRDefault="002C2083" w:rsidP="002C2083">
            <w:pPr>
              <w:autoSpaceDE w:val="0"/>
              <w:autoSpaceDN w:val="0"/>
              <w:adjustRightInd w:val="0"/>
              <w:rPr>
                <w:rFonts w:cs="Arial"/>
                <w:bCs/>
                <w:sz w:val="20"/>
              </w:rPr>
            </w:pPr>
          </w:p>
          <w:p w14:paraId="37CA0814" w14:textId="6751FCC6" w:rsidR="002C2083" w:rsidRDefault="002C2083" w:rsidP="002C2083">
            <w:pPr>
              <w:rPr>
                <w:rFonts w:cs="Arial"/>
                <w:bCs/>
                <w:sz w:val="20"/>
              </w:rPr>
            </w:pPr>
            <w:r w:rsidRPr="002C2083">
              <w:rPr>
                <w:rFonts w:cs="Arial"/>
                <w:bCs/>
                <w:sz w:val="20"/>
              </w:rPr>
              <w:t xml:space="preserve">Where an individual is suspected of, or is openly collecting injecting paraphernalia on behalf of another person, Staff </w:t>
            </w:r>
            <w:r w:rsidR="00BC7CA3">
              <w:rPr>
                <w:rFonts w:cs="Arial"/>
                <w:bCs/>
                <w:sz w:val="20"/>
              </w:rPr>
              <w:t xml:space="preserve">should </w:t>
            </w:r>
            <w:r w:rsidRPr="002C2083">
              <w:rPr>
                <w:rFonts w:cs="Arial"/>
                <w:bCs/>
                <w:sz w:val="20"/>
              </w:rPr>
              <w:t>encourage th</w:t>
            </w:r>
            <w:r w:rsidR="00BC7CA3">
              <w:rPr>
                <w:rFonts w:cs="Arial"/>
                <w:bCs/>
                <w:sz w:val="20"/>
              </w:rPr>
              <w:t>e</w:t>
            </w:r>
            <w:r w:rsidRPr="002C2083">
              <w:rPr>
                <w:rFonts w:cs="Arial"/>
                <w:bCs/>
                <w:sz w:val="20"/>
              </w:rPr>
              <w:t xml:space="preserve"> individual to get the person who will receive the injecting paraphernalia to access the PNX service himself / herself, as direct access will allow that person to receive guidance / advice on  matters such as harm reduction and safer injecting, assessment of injecting sites, assessment of other concurrent health problems, and/or referrals to specialist services.  Note: proxy collections will not be prevented</w:t>
            </w:r>
          </w:p>
          <w:p w14:paraId="0A75F688" w14:textId="7B007783" w:rsidR="002C2083" w:rsidRDefault="002C2083" w:rsidP="002C2083">
            <w:pPr>
              <w:rPr>
                <w:rFonts w:cs="Arial"/>
                <w:bCs/>
                <w:sz w:val="20"/>
              </w:rPr>
            </w:pPr>
          </w:p>
          <w:p w14:paraId="5BF5C976" w14:textId="75A86E82" w:rsidR="002C2083" w:rsidRPr="00BC7CA3" w:rsidRDefault="002C2083" w:rsidP="002C2083">
            <w:pPr>
              <w:rPr>
                <w:rFonts w:cs="Arial"/>
                <w:b/>
                <w:color w:val="339966"/>
                <w:sz w:val="20"/>
              </w:rPr>
            </w:pPr>
            <w:r w:rsidRPr="00BC7CA3">
              <w:rPr>
                <w:rFonts w:cs="Arial"/>
                <w:b/>
                <w:color w:val="339966"/>
                <w:sz w:val="20"/>
              </w:rPr>
              <w:t>2.</w:t>
            </w:r>
            <w:r w:rsidR="00BC7CA3" w:rsidRPr="00BC7CA3">
              <w:rPr>
                <w:rFonts w:cs="Arial"/>
                <w:b/>
                <w:color w:val="339966"/>
                <w:sz w:val="20"/>
              </w:rPr>
              <w:t>5</w:t>
            </w:r>
            <w:r w:rsidRPr="00BC7CA3">
              <w:rPr>
                <w:rFonts w:cs="Arial"/>
                <w:b/>
                <w:color w:val="339966"/>
                <w:sz w:val="20"/>
              </w:rPr>
              <w:t xml:space="preserve"> Improving </w:t>
            </w:r>
            <w:proofErr w:type="gramStart"/>
            <w:r w:rsidRPr="00BC7CA3">
              <w:rPr>
                <w:rFonts w:cs="Arial"/>
                <w:b/>
                <w:color w:val="339966"/>
                <w:sz w:val="20"/>
              </w:rPr>
              <w:t>access</w:t>
            </w:r>
            <w:proofErr w:type="gramEnd"/>
          </w:p>
          <w:p w14:paraId="5082B5EB" w14:textId="59A46F2E" w:rsidR="002C2083" w:rsidRPr="002C2083" w:rsidRDefault="002C2083" w:rsidP="002C2083">
            <w:pPr>
              <w:suppressAutoHyphens w:val="0"/>
              <w:autoSpaceDE w:val="0"/>
              <w:autoSpaceDN w:val="0"/>
              <w:adjustRightInd w:val="0"/>
              <w:jc w:val="left"/>
              <w:rPr>
                <w:rFonts w:cs="Arial"/>
                <w:sz w:val="20"/>
                <w:lang w:eastAsia="en-GB"/>
              </w:rPr>
            </w:pPr>
            <w:r w:rsidRPr="002C2083">
              <w:rPr>
                <w:rFonts w:cs="Arial"/>
                <w:sz w:val="20"/>
                <w:lang w:eastAsia="en-GB"/>
              </w:rPr>
              <w:t>There are no factors which will result in priority access being given to Service Users of the PNX Service, however there are some specific groups that the Provider will be expected to target to increase their use of the Service.  These groups are:</w:t>
            </w:r>
          </w:p>
          <w:p w14:paraId="4189E072" w14:textId="77777777" w:rsidR="002C2083" w:rsidRPr="002C2083" w:rsidRDefault="002C2083" w:rsidP="002C2083">
            <w:pPr>
              <w:suppressAutoHyphens w:val="0"/>
              <w:autoSpaceDE w:val="0"/>
              <w:autoSpaceDN w:val="0"/>
              <w:adjustRightInd w:val="0"/>
              <w:jc w:val="left"/>
              <w:rPr>
                <w:rFonts w:cs="Arial"/>
                <w:sz w:val="20"/>
                <w:lang w:eastAsia="en-GB"/>
              </w:rPr>
            </w:pPr>
          </w:p>
          <w:p w14:paraId="61745AB7" w14:textId="7A844963" w:rsidR="002C2083" w:rsidRPr="002C2083" w:rsidRDefault="002C2083" w:rsidP="000D22F3">
            <w:pPr>
              <w:numPr>
                <w:ilvl w:val="0"/>
                <w:numId w:val="21"/>
              </w:numPr>
              <w:suppressAutoHyphens w:val="0"/>
              <w:autoSpaceDE w:val="0"/>
              <w:autoSpaceDN w:val="0"/>
              <w:adjustRightInd w:val="0"/>
              <w:spacing w:after="120"/>
              <w:ind w:left="714" w:hanging="357"/>
              <w:jc w:val="left"/>
              <w:rPr>
                <w:rFonts w:cs="Arial"/>
                <w:sz w:val="20"/>
                <w:lang w:eastAsia="en-GB"/>
              </w:rPr>
            </w:pPr>
            <w:r w:rsidRPr="002C2083">
              <w:rPr>
                <w:rFonts w:cs="Arial"/>
                <w:sz w:val="20"/>
                <w:lang w:eastAsia="en-GB"/>
              </w:rPr>
              <w:t xml:space="preserve">Women – as stated in UNODOC briefing paper called Women Who Inject Drugs and HIV, there is worldwide </w:t>
            </w:r>
            <w:r w:rsidR="00BC7CA3" w:rsidRPr="002C2083">
              <w:rPr>
                <w:rFonts w:cs="Arial"/>
                <w:sz w:val="20"/>
                <w:lang w:eastAsia="en-GB"/>
              </w:rPr>
              <w:t>gender-based</w:t>
            </w:r>
            <w:r w:rsidRPr="002C2083">
              <w:rPr>
                <w:rFonts w:cs="Arial"/>
                <w:sz w:val="20"/>
                <w:lang w:eastAsia="en-GB"/>
              </w:rPr>
              <w:t xml:space="preserve"> inequality in the use of needle exchange services. Therefore, the Provider will be expected to take all available actions to improve engagement with female injecting drug users.</w:t>
            </w:r>
          </w:p>
          <w:p w14:paraId="47C90E80" w14:textId="77777777" w:rsidR="002C2083" w:rsidRPr="002C2083" w:rsidRDefault="002C2083" w:rsidP="000D22F3">
            <w:pPr>
              <w:numPr>
                <w:ilvl w:val="0"/>
                <w:numId w:val="21"/>
              </w:numPr>
              <w:suppressAutoHyphens w:val="0"/>
              <w:autoSpaceDE w:val="0"/>
              <w:autoSpaceDN w:val="0"/>
              <w:adjustRightInd w:val="0"/>
              <w:spacing w:after="120"/>
              <w:ind w:left="714" w:hanging="357"/>
              <w:jc w:val="left"/>
              <w:rPr>
                <w:rFonts w:cs="Arial"/>
                <w:sz w:val="20"/>
                <w:lang w:eastAsia="en-GB"/>
              </w:rPr>
            </w:pPr>
            <w:r w:rsidRPr="002C2083">
              <w:rPr>
                <w:rFonts w:cs="Arial"/>
                <w:sz w:val="20"/>
                <w:lang w:eastAsia="en-GB"/>
              </w:rPr>
              <w:t>Social disadvantaged individuals - There is strong correlation between low socio-economic status and drug use. This is reflected in North Somerset with many users of pharmacy needle exchanges living in areas of high deprivation. The Provider will be expected to ensure services are accessible and acceptable to individuals from lower socio-economic groups.</w:t>
            </w:r>
          </w:p>
          <w:p w14:paraId="7BF83392" w14:textId="77777777" w:rsidR="000D22F3" w:rsidRPr="000D22F3" w:rsidRDefault="002C2083" w:rsidP="000C6D70">
            <w:pPr>
              <w:numPr>
                <w:ilvl w:val="0"/>
                <w:numId w:val="21"/>
              </w:numPr>
              <w:suppressAutoHyphens w:val="0"/>
              <w:autoSpaceDE w:val="0"/>
              <w:autoSpaceDN w:val="0"/>
              <w:adjustRightInd w:val="0"/>
              <w:spacing w:after="120"/>
              <w:ind w:left="714" w:hanging="357"/>
              <w:jc w:val="left"/>
              <w:rPr>
                <w:rFonts w:cs="Arial"/>
                <w:bCs/>
                <w:color w:val="339966"/>
                <w:sz w:val="20"/>
              </w:rPr>
            </w:pPr>
            <w:r w:rsidRPr="000D22F3">
              <w:rPr>
                <w:rFonts w:cs="Arial"/>
                <w:sz w:val="20"/>
                <w:lang w:eastAsia="en-GB"/>
              </w:rPr>
              <w:t>Offenders - There is a high rate of injecting drug use amongst offenders involved with the criminal justice system. In response to this, the Provider will be expected to provide PNX Services which can be accessed by offenders as they move in and out of different elements of the criminal justice system.</w:t>
            </w:r>
          </w:p>
          <w:p w14:paraId="4BD2C2F5" w14:textId="4000668E" w:rsidR="002C2083" w:rsidRPr="000D22F3" w:rsidRDefault="002C2083" w:rsidP="000C6D70">
            <w:pPr>
              <w:numPr>
                <w:ilvl w:val="0"/>
                <w:numId w:val="21"/>
              </w:numPr>
              <w:suppressAutoHyphens w:val="0"/>
              <w:autoSpaceDE w:val="0"/>
              <w:autoSpaceDN w:val="0"/>
              <w:adjustRightInd w:val="0"/>
              <w:spacing w:after="120"/>
              <w:ind w:left="714" w:hanging="357"/>
              <w:jc w:val="left"/>
              <w:rPr>
                <w:rFonts w:cs="Arial"/>
                <w:bCs/>
                <w:color w:val="339966"/>
                <w:sz w:val="20"/>
              </w:rPr>
            </w:pPr>
            <w:r w:rsidRPr="000D22F3">
              <w:rPr>
                <w:sz w:val="20"/>
              </w:rPr>
              <w:t>Homeless – Homelessness is a key risk factor for injecting drug use (Feng et al, 2012) and is common amongst the homeless. The Provider will ensure that homeless individuals are able, welcomed and supported to access the service</w:t>
            </w:r>
            <w:r w:rsidR="00BC7CA3">
              <w:rPr>
                <w:sz w:val="20"/>
              </w:rPr>
              <w:t>.</w:t>
            </w:r>
          </w:p>
          <w:p w14:paraId="0499CD90" w14:textId="77777777" w:rsidR="002C2083" w:rsidRPr="00AE0CA3" w:rsidRDefault="002C2083" w:rsidP="006A283E">
            <w:pPr>
              <w:rPr>
                <w:rFonts w:cs="Arial"/>
                <w:b/>
                <w:bCs/>
                <w:color w:val="339966"/>
                <w:sz w:val="20"/>
              </w:rPr>
            </w:pPr>
          </w:p>
          <w:p w14:paraId="7AA060B6" w14:textId="2F519FE3" w:rsidR="006A283E" w:rsidRPr="00AE0CA3" w:rsidRDefault="006A283E" w:rsidP="006A283E">
            <w:pPr>
              <w:rPr>
                <w:rFonts w:cs="Arial"/>
                <w:b/>
                <w:bCs/>
                <w:color w:val="339966"/>
                <w:sz w:val="20"/>
              </w:rPr>
            </w:pPr>
            <w:r>
              <w:rPr>
                <w:rFonts w:cs="Arial"/>
                <w:b/>
                <w:bCs/>
                <w:color w:val="339966"/>
                <w:sz w:val="20"/>
              </w:rPr>
              <w:t>2</w:t>
            </w:r>
            <w:r w:rsidRPr="00AE0CA3">
              <w:rPr>
                <w:rFonts w:cs="Arial"/>
                <w:b/>
                <w:bCs/>
                <w:color w:val="339966"/>
                <w:sz w:val="20"/>
              </w:rPr>
              <w:t>.</w:t>
            </w:r>
            <w:r w:rsidR="00BC7CA3">
              <w:rPr>
                <w:rFonts w:cs="Arial"/>
                <w:b/>
                <w:bCs/>
                <w:color w:val="339966"/>
                <w:sz w:val="20"/>
              </w:rPr>
              <w:t>6</w:t>
            </w:r>
            <w:r w:rsidRPr="00AE0CA3">
              <w:rPr>
                <w:rFonts w:cs="Arial"/>
                <w:b/>
                <w:bCs/>
                <w:color w:val="339966"/>
                <w:sz w:val="20"/>
              </w:rPr>
              <w:t xml:space="preserve"> Population </w:t>
            </w:r>
            <w:proofErr w:type="gramStart"/>
            <w:r w:rsidRPr="00AE0CA3">
              <w:rPr>
                <w:rFonts w:cs="Arial"/>
                <w:b/>
                <w:bCs/>
                <w:color w:val="339966"/>
                <w:sz w:val="20"/>
              </w:rPr>
              <w:t>covered</w:t>
            </w:r>
            <w:proofErr w:type="gramEnd"/>
          </w:p>
          <w:p w14:paraId="75AB1A8E" w14:textId="4C3FD681" w:rsidR="006A283E" w:rsidRDefault="00F82B7B" w:rsidP="006A283E">
            <w:pPr>
              <w:rPr>
                <w:rFonts w:cs="Arial"/>
                <w:bCs/>
                <w:sz w:val="20"/>
              </w:rPr>
            </w:pPr>
            <w:r w:rsidRPr="00F82B7B">
              <w:rPr>
                <w:rFonts w:cs="Arial"/>
                <w:bCs/>
                <w:sz w:val="20"/>
              </w:rPr>
              <w:t xml:space="preserve">Any </w:t>
            </w:r>
            <w:r>
              <w:rPr>
                <w:rFonts w:cs="Arial"/>
                <w:bCs/>
                <w:sz w:val="20"/>
              </w:rPr>
              <w:t xml:space="preserve">adult (over the age of 18) who requires </w:t>
            </w:r>
            <w:r w:rsidRPr="00F82B7B">
              <w:rPr>
                <w:rFonts w:cs="Arial"/>
                <w:bCs/>
                <w:sz w:val="20"/>
              </w:rPr>
              <w:t xml:space="preserve">injecting </w:t>
            </w:r>
            <w:r>
              <w:rPr>
                <w:rFonts w:cs="Arial"/>
                <w:bCs/>
                <w:sz w:val="20"/>
              </w:rPr>
              <w:t xml:space="preserve">paraphernalia for the administration </w:t>
            </w:r>
            <w:r w:rsidR="00A9139E">
              <w:rPr>
                <w:rFonts w:cs="Arial"/>
                <w:bCs/>
                <w:sz w:val="20"/>
              </w:rPr>
              <w:t>of illicit substances (including performance and image enhancing drugs).</w:t>
            </w:r>
          </w:p>
          <w:p w14:paraId="4814F10C" w14:textId="58C0F8C0" w:rsidR="002C2083" w:rsidRDefault="002C2083" w:rsidP="006A283E">
            <w:pPr>
              <w:rPr>
                <w:rFonts w:cs="Arial"/>
                <w:bCs/>
                <w:sz w:val="20"/>
              </w:rPr>
            </w:pPr>
          </w:p>
          <w:p w14:paraId="1CCD8F06" w14:textId="7AF93A17" w:rsidR="006A283E" w:rsidRPr="002C2083" w:rsidRDefault="006A283E" w:rsidP="006A283E">
            <w:pPr>
              <w:rPr>
                <w:rFonts w:cs="Arial"/>
                <w:b/>
                <w:bCs/>
                <w:color w:val="339966"/>
                <w:sz w:val="20"/>
              </w:rPr>
            </w:pPr>
            <w:r>
              <w:rPr>
                <w:rFonts w:cs="Arial"/>
                <w:b/>
                <w:bCs/>
                <w:color w:val="339966"/>
                <w:sz w:val="20"/>
              </w:rPr>
              <w:t>2</w:t>
            </w:r>
            <w:r w:rsidRPr="00AE0CA3">
              <w:rPr>
                <w:rFonts w:cs="Arial"/>
                <w:b/>
                <w:bCs/>
                <w:color w:val="339966"/>
                <w:sz w:val="20"/>
              </w:rPr>
              <w:t>.</w:t>
            </w:r>
            <w:r w:rsidR="00BC7CA3">
              <w:rPr>
                <w:rFonts w:cs="Arial"/>
                <w:b/>
                <w:bCs/>
                <w:color w:val="339966"/>
                <w:sz w:val="20"/>
              </w:rPr>
              <w:t>7</w:t>
            </w:r>
            <w:r w:rsidRPr="00AE0CA3">
              <w:rPr>
                <w:rFonts w:cs="Arial"/>
                <w:b/>
                <w:bCs/>
                <w:color w:val="339966"/>
                <w:sz w:val="20"/>
              </w:rPr>
              <w:t xml:space="preserve"> Any acceptance and exclusion criteria</w:t>
            </w:r>
            <w:r>
              <w:rPr>
                <w:rFonts w:cs="Arial"/>
                <w:b/>
                <w:bCs/>
                <w:color w:val="339966"/>
                <w:sz w:val="20"/>
              </w:rPr>
              <w:t xml:space="preserve"> and thresholds</w:t>
            </w:r>
            <w:r w:rsidRPr="00AE0CA3">
              <w:rPr>
                <w:rFonts w:cs="Arial"/>
                <w:b/>
                <w:bCs/>
                <w:color w:val="339966"/>
                <w:sz w:val="20"/>
              </w:rPr>
              <w:t xml:space="preserve"> </w:t>
            </w:r>
          </w:p>
          <w:p w14:paraId="764E3567" w14:textId="21506D3F" w:rsidR="00F82B7B" w:rsidRPr="00F82B7B" w:rsidRDefault="00F82B7B" w:rsidP="00F82B7B">
            <w:pPr>
              <w:autoSpaceDE w:val="0"/>
              <w:autoSpaceDN w:val="0"/>
              <w:adjustRightInd w:val="0"/>
              <w:rPr>
                <w:rFonts w:cs="Arial"/>
                <w:bCs/>
                <w:sz w:val="20"/>
              </w:rPr>
            </w:pPr>
            <w:r w:rsidRPr="00F82B7B">
              <w:rPr>
                <w:rFonts w:cs="Arial"/>
                <w:bCs/>
                <w:sz w:val="20"/>
              </w:rPr>
              <w:t>Individuals falling into any one of the following groups will not be eligible for access to the PNX Service:</w:t>
            </w:r>
          </w:p>
          <w:p w14:paraId="31639653" w14:textId="1A61A37F" w:rsidR="00F82B7B" w:rsidRPr="00F82B7B" w:rsidRDefault="00F82B7B" w:rsidP="001F3A80">
            <w:pPr>
              <w:pStyle w:val="ListParagraph"/>
              <w:numPr>
                <w:ilvl w:val="0"/>
                <w:numId w:val="21"/>
              </w:numPr>
              <w:suppressAutoHyphens w:val="0"/>
              <w:autoSpaceDE w:val="0"/>
              <w:autoSpaceDN w:val="0"/>
              <w:adjustRightInd w:val="0"/>
              <w:spacing w:after="120"/>
              <w:jc w:val="left"/>
              <w:rPr>
                <w:rFonts w:cs="Arial"/>
                <w:bCs/>
                <w:sz w:val="20"/>
              </w:rPr>
            </w:pPr>
            <w:r w:rsidRPr="00F82B7B">
              <w:rPr>
                <w:rFonts w:cs="Arial"/>
                <w:bCs/>
                <w:sz w:val="20"/>
              </w:rPr>
              <w:t xml:space="preserve">Individuals aged 17 years and below (these individuals should access the specialist needle exchange service currently operated by </w:t>
            </w:r>
            <w:proofErr w:type="gramStart"/>
            <w:r w:rsidR="00BC7CA3">
              <w:rPr>
                <w:rFonts w:cs="Arial"/>
                <w:bCs/>
                <w:sz w:val="20"/>
              </w:rPr>
              <w:t>We</w:t>
            </w:r>
            <w:proofErr w:type="gramEnd"/>
            <w:r w:rsidR="00BC7CA3">
              <w:rPr>
                <w:rFonts w:cs="Arial"/>
                <w:bCs/>
                <w:sz w:val="20"/>
              </w:rPr>
              <w:t xml:space="preserve"> Are With You</w:t>
            </w:r>
            <w:r w:rsidRPr="00F82B7B">
              <w:rPr>
                <w:rFonts w:cs="Arial"/>
                <w:bCs/>
                <w:sz w:val="20"/>
              </w:rPr>
              <w:t>)</w:t>
            </w:r>
          </w:p>
          <w:p w14:paraId="548AAE5D" w14:textId="3B003945" w:rsidR="00F82B7B" w:rsidRPr="00F82B7B" w:rsidRDefault="00F82B7B" w:rsidP="001F3A80">
            <w:pPr>
              <w:pStyle w:val="ListParagraph"/>
              <w:numPr>
                <w:ilvl w:val="0"/>
                <w:numId w:val="21"/>
              </w:numPr>
              <w:suppressAutoHyphens w:val="0"/>
              <w:autoSpaceDE w:val="0"/>
              <w:autoSpaceDN w:val="0"/>
              <w:adjustRightInd w:val="0"/>
              <w:spacing w:after="120"/>
              <w:jc w:val="left"/>
              <w:rPr>
                <w:rFonts w:cs="Arial"/>
                <w:bCs/>
                <w:sz w:val="20"/>
              </w:rPr>
            </w:pPr>
            <w:r w:rsidRPr="00F82B7B">
              <w:rPr>
                <w:rFonts w:cs="Arial"/>
                <w:bCs/>
                <w:sz w:val="20"/>
              </w:rPr>
              <w:t>Individuals injecting prescribed substances such as insulin</w:t>
            </w:r>
            <w:r w:rsidR="00BC7CA3">
              <w:rPr>
                <w:rFonts w:cs="Arial"/>
                <w:bCs/>
                <w:sz w:val="20"/>
              </w:rPr>
              <w:t>.</w:t>
            </w:r>
          </w:p>
          <w:p w14:paraId="04859D8D" w14:textId="77777777" w:rsidR="006A283E" w:rsidRPr="00AE0CA3" w:rsidRDefault="006A283E" w:rsidP="006A283E">
            <w:pPr>
              <w:rPr>
                <w:rFonts w:cs="Arial"/>
                <w:b/>
                <w:bCs/>
                <w:color w:val="339966"/>
                <w:sz w:val="20"/>
              </w:rPr>
            </w:pPr>
          </w:p>
          <w:p w14:paraId="14F9EB30" w14:textId="33FE39E8" w:rsidR="006A283E" w:rsidRPr="00AE0CA3" w:rsidRDefault="006A283E" w:rsidP="006A283E">
            <w:pPr>
              <w:rPr>
                <w:rFonts w:cs="Arial"/>
                <w:b/>
                <w:bCs/>
                <w:color w:val="339966"/>
                <w:sz w:val="20"/>
              </w:rPr>
            </w:pPr>
            <w:r>
              <w:rPr>
                <w:rFonts w:cs="Arial"/>
                <w:b/>
                <w:bCs/>
                <w:color w:val="339966"/>
                <w:sz w:val="20"/>
              </w:rPr>
              <w:t>2</w:t>
            </w:r>
            <w:r w:rsidRPr="00AE0CA3">
              <w:rPr>
                <w:rFonts w:cs="Arial"/>
                <w:b/>
                <w:bCs/>
                <w:color w:val="339966"/>
                <w:sz w:val="20"/>
              </w:rPr>
              <w:t>.</w:t>
            </w:r>
            <w:r w:rsidR="00BC7CA3">
              <w:rPr>
                <w:rFonts w:cs="Arial"/>
                <w:b/>
                <w:bCs/>
                <w:color w:val="339966"/>
                <w:sz w:val="20"/>
              </w:rPr>
              <w:t>8</w:t>
            </w:r>
            <w:r w:rsidRPr="00AE0CA3">
              <w:rPr>
                <w:rFonts w:cs="Arial"/>
                <w:b/>
                <w:bCs/>
                <w:color w:val="339966"/>
                <w:sz w:val="20"/>
              </w:rPr>
              <w:t xml:space="preserve"> Interdependencies with other services</w:t>
            </w:r>
          </w:p>
          <w:p w14:paraId="37C039BD" w14:textId="17A4C799" w:rsidR="006A283E" w:rsidRPr="00BC7CA3" w:rsidRDefault="000C6D70" w:rsidP="00F53687">
            <w:pPr>
              <w:pStyle w:val="ListParagraph"/>
              <w:numPr>
                <w:ilvl w:val="0"/>
                <w:numId w:val="25"/>
              </w:numPr>
              <w:rPr>
                <w:rFonts w:cs="Arial"/>
                <w:b/>
                <w:bCs/>
                <w:color w:val="339966"/>
                <w:sz w:val="20"/>
              </w:rPr>
            </w:pPr>
            <w:r w:rsidRPr="00BC7CA3">
              <w:rPr>
                <w:rFonts w:cs="Arial"/>
                <w:b/>
                <w:bCs/>
                <w:sz w:val="20"/>
              </w:rPr>
              <w:lastRenderedPageBreak/>
              <w:t>Specialist Substance Misuse Service</w:t>
            </w:r>
            <w:r w:rsidRPr="00BC7CA3">
              <w:rPr>
                <w:rFonts w:cs="Arial"/>
                <w:bCs/>
                <w:sz w:val="20"/>
              </w:rPr>
              <w:t xml:space="preserve"> – </w:t>
            </w:r>
            <w:r w:rsidR="00644C0C" w:rsidRPr="00BC7CA3">
              <w:rPr>
                <w:rFonts w:cs="Arial"/>
                <w:bCs/>
                <w:sz w:val="20"/>
              </w:rPr>
              <w:t>P</w:t>
            </w:r>
            <w:r w:rsidRPr="00BC7CA3">
              <w:rPr>
                <w:rFonts w:cs="Arial"/>
                <w:bCs/>
                <w:sz w:val="20"/>
              </w:rPr>
              <w:t>harmacies will refer individuals to the specialist service for any other service requirements includ</w:t>
            </w:r>
            <w:r w:rsidR="00644C0C" w:rsidRPr="00BC7CA3">
              <w:rPr>
                <w:rFonts w:cs="Arial"/>
                <w:bCs/>
                <w:sz w:val="20"/>
              </w:rPr>
              <w:t>ing injecting equipment not held at pharmacy, Naloxone, BBV testing and vaccination and treatment services</w:t>
            </w:r>
            <w:r w:rsidR="00BC7CA3" w:rsidRPr="00BC7CA3">
              <w:rPr>
                <w:rFonts w:cs="Arial"/>
                <w:bCs/>
                <w:sz w:val="20"/>
              </w:rPr>
              <w:t>.</w:t>
            </w:r>
          </w:p>
          <w:p w14:paraId="520EB2E1" w14:textId="77777777" w:rsidR="006A283E" w:rsidRPr="00090017" w:rsidRDefault="006A283E" w:rsidP="006A283E">
            <w:pPr>
              <w:rPr>
                <w:bCs/>
                <w:sz w:val="20"/>
              </w:rPr>
            </w:pPr>
          </w:p>
        </w:tc>
      </w:tr>
      <w:tr w:rsidR="006A283E" w:rsidRPr="009E2A23" w14:paraId="4BF5973B" w14:textId="77777777" w:rsidTr="00836DDE">
        <w:tc>
          <w:tcPr>
            <w:tcW w:w="5000" w:type="pct"/>
            <w:tcBorders>
              <w:top w:val="single" w:sz="4" w:space="0" w:color="999999"/>
              <w:left w:val="single" w:sz="4" w:space="0" w:color="999999"/>
              <w:bottom w:val="single" w:sz="4" w:space="0" w:color="999999"/>
              <w:right w:val="single" w:sz="4" w:space="0" w:color="999999"/>
            </w:tcBorders>
            <w:shd w:val="clear" w:color="auto" w:fill="666666"/>
          </w:tcPr>
          <w:p w14:paraId="795F303F" w14:textId="77777777" w:rsidR="006A283E" w:rsidRDefault="006A283E" w:rsidP="006A283E">
            <w:pPr>
              <w:pStyle w:val="BodyText"/>
              <w:jc w:val="both"/>
              <w:rPr>
                <w:color w:val="FFFFFF"/>
                <w:sz w:val="10"/>
                <w:szCs w:val="10"/>
              </w:rPr>
            </w:pPr>
          </w:p>
          <w:p w14:paraId="53CACD9B" w14:textId="1B13C364" w:rsidR="006A283E" w:rsidRPr="00C5026F" w:rsidRDefault="006A283E" w:rsidP="006A283E">
            <w:pPr>
              <w:pStyle w:val="BodyText"/>
              <w:jc w:val="both"/>
              <w:rPr>
                <w:color w:val="FFFF00"/>
                <w:sz w:val="20"/>
                <w:szCs w:val="20"/>
              </w:rPr>
            </w:pPr>
            <w:r>
              <w:rPr>
                <w:color w:val="FFFF00"/>
                <w:sz w:val="20"/>
                <w:szCs w:val="20"/>
              </w:rPr>
              <w:t>3</w:t>
            </w:r>
            <w:r w:rsidRPr="00C5026F">
              <w:rPr>
                <w:color w:val="FFFF00"/>
                <w:sz w:val="20"/>
                <w:szCs w:val="20"/>
              </w:rPr>
              <w:t>. Applicable Service Standards</w:t>
            </w:r>
            <w:r w:rsidRPr="00C5026F" w:rsidDel="00090017">
              <w:rPr>
                <w:color w:val="FFFF00"/>
                <w:sz w:val="20"/>
                <w:szCs w:val="20"/>
              </w:rPr>
              <w:t xml:space="preserve"> </w:t>
            </w:r>
            <w:r>
              <w:rPr>
                <w:color w:val="FFFF00"/>
                <w:sz w:val="20"/>
                <w:szCs w:val="20"/>
              </w:rPr>
              <w:t>&amp; Clinical Governance Requirements</w:t>
            </w:r>
          </w:p>
          <w:p w14:paraId="263EA2BB" w14:textId="77777777" w:rsidR="006A283E" w:rsidRPr="009E2A23" w:rsidRDefault="006A283E" w:rsidP="006A283E">
            <w:pPr>
              <w:pStyle w:val="BodyText"/>
              <w:jc w:val="both"/>
              <w:rPr>
                <w:color w:val="FFFFFF"/>
                <w:sz w:val="10"/>
                <w:szCs w:val="10"/>
              </w:rPr>
            </w:pPr>
          </w:p>
        </w:tc>
      </w:tr>
      <w:tr w:rsidR="006A283E" w:rsidRPr="009E2A23" w14:paraId="43B278E5" w14:textId="77777777" w:rsidTr="00836DDE">
        <w:trPr>
          <w:trHeight w:val="1904"/>
        </w:trPr>
        <w:tc>
          <w:tcPr>
            <w:tcW w:w="5000" w:type="pct"/>
            <w:tcBorders>
              <w:top w:val="single" w:sz="4" w:space="0" w:color="999999"/>
              <w:left w:val="single" w:sz="4" w:space="0" w:color="999999"/>
              <w:bottom w:val="single" w:sz="4" w:space="0" w:color="999999"/>
              <w:right w:val="single" w:sz="4" w:space="0" w:color="999999"/>
            </w:tcBorders>
          </w:tcPr>
          <w:p w14:paraId="27B78E39" w14:textId="77777777" w:rsidR="006A283E" w:rsidRDefault="006A283E" w:rsidP="006A283E">
            <w:pPr>
              <w:pStyle w:val="BodyText"/>
              <w:rPr>
                <w:rFonts w:ascii="Arial Bold" w:hAnsi="Arial Bold" w:cs="Arial Bold"/>
                <w:bCs/>
                <w:color w:val="339966"/>
                <w:sz w:val="20"/>
              </w:rPr>
            </w:pPr>
          </w:p>
          <w:p w14:paraId="47D7E7BD" w14:textId="77777777" w:rsidR="006A283E" w:rsidRPr="00645531" w:rsidRDefault="006A283E" w:rsidP="006A283E">
            <w:pPr>
              <w:pStyle w:val="BodyText"/>
              <w:rPr>
                <w:rFonts w:ascii="Arial Bold" w:hAnsi="Arial Bold" w:cs="Arial Bold"/>
                <w:bCs/>
                <w:color w:val="339966"/>
                <w:sz w:val="20"/>
              </w:rPr>
            </w:pPr>
            <w:r>
              <w:rPr>
                <w:rFonts w:ascii="Arial Bold" w:hAnsi="Arial Bold" w:cs="Arial Bold"/>
                <w:bCs/>
                <w:color w:val="339966"/>
                <w:sz w:val="20"/>
              </w:rPr>
              <w:t>3</w:t>
            </w:r>
            <w:r w:rsidRPr="00645531">
              <w:rPr>
                <w:rFonts w:ascii="Arial Bold" w:hAnsi="Arial Bold" w:cs="Arial Bold"/>
                <w:bCs/>
                <w:color w:val="339966"/>
                <w:sz w:val="20"/>
              </w:rPr>
              <w:t xml:space="preserve">.1 </w:t>
            </w:r>
            <w:r w:rsidRPr="00AE4254">
              <w:rPr>
                <w:rFonts w:ascii="Arial Bold" w:eastAsia="Times New Roman" w:hAnsi="Arial Bold" w:cs="Arial Bold"/>
                <w:bCs/>
                <w:color w:val="339966"/>
                <w:sz w:val="20"/>
                <w:szCs w:val="20"/>
              </w:rPr>
              <w:t>Clinical Effectiveness &amp; Research</w:t>
            </w:r>
            <w:r>
              <w:rPr>
                <w:rFonts w:ascii="Arial Bold" w:eastAsia="Times New Roman" w:hAnsi="Arial Bold" w:cs="Arial Bold"/>
                <w:bCs/>
                <w:color w:val="339966"/>
                <w:sz w:val="20"/>
                <w:szCs w:val="20"/>
              </w:rPr>
              <w:t>-</w:t>
            </w:r>
            <w:r w:rsidRPr="00645531">
              <w:rPr>
                <w:rFonts w:ascii="Arial Bold" w:hAnsi="Arial Bold" w:cs="Arial Bold"/>
                <w:bCs/>
                <w:color w:val="339966"/>
                <w:sz w:val="20"/>
              </w:rPr>
              <w:t xml:space="preserve">Applicable national </w:t>
            </w:r>
            <w:r>
              <w:rPr>
                <w:rFonts w:ascii="Arial Bold" w:hAnsi="Arial Bold" w:cs="Arial Bold"/>
                <w:bCs/>
                <w:color w:val="339966"/>
                <w:sz w:val="20"/>
              </w:rPr>
              <w:t xml:space="preserve">&amp; local </w:t>
            </w:r>
            <w:r w:rsidRPr="00645531">
              <w:rPr>
                <w:rFonts w:ascii="Arial Bold" w:hAnsi="Arial Bold" w:cs="Arial Bold"/>
                <w:bCs/>
                <w:color w:val="339966"/>
                <w:sz w:val="20"/>
              </w:rPr>
              <w:t xml:space="preserve">standards e.g. </w:t>
            </w:r>
            <w:smartTag w:uri="urn:schemas-microsoft-com:office:smarttags" w:element="stockticker">
              <w:r w:rsidRPr="00645531">
                <w:rPr>
                  <w:rFonts w:ascii="Arial Bold" w:hAnsi="Arial Bold" w:cs="Arial Bold"/>
                  <w:bCs/>
                  <w:color w:val="339966"/>
                  <w:sz w:val="20"/>
                </w:rPr>
                <w:t>NICE</w:t>
              </w:r>
            </w:smartTag>
          </w:p>
          <w:p w14:paraId="6D59FDB4" w14:textId="77777777" w:rsidR="000E29BA" w:rsidRPr="000E29BA" w:rsidRDefault="000E29BA" w:rsidP="000E29BA">
            <w:pPr>
              <w:autoSpaceDE w:val="0"/>
              <w:autoSpaceDN w:val="0"/>
              <w:adjustRightInd w:val="0"/>
              <w:rPr>
                <w:rFonts w:cs="Arial"/>
                <w:sz w:val="20"/>
              </w:rPr>
            </w:pPr>
            <w:r w:rsidRPr="000E29BA">
              <w:rPr>
                <w:rFonts w:cs="Arial"/>
                <w:sz w:val="20"/>
              </w:rPr>
              <w:t xml:space="preserve">The Provider will comply with all relevant guidance, </w:t>
            </w:r>
            <w:proofErr w:type="gramStart"/>
            <w:r w:rsidRPr="000E29BA">
              <w:rPr>
                <w:rFonts w:cs="Arial"/>
                <w:sz w:val="20"/>
              </w:rPr>
              <w:t>regulations</w:t>
            </w:r>
            <w:proofErr w:type="gramEnd"/>
            <w:r w:rsidRPr="000E29BA">
              <w:rPr>
                <w:rFonts w:cs="Arial"/>
                <w:sz w:val="20"/>
              </w:rPr>
              <w:t xml:space="preserve"> and statutory circulars in so far as they are applicable to the PNX Service. The Provider shall review and implement any relevant elements of the following guidance documents:</w:t>
            </w:r>
          </w:p>
          <w:p w14:paraId="3066C7FF" w14:textId="77777777" w:rsidR="000E29BA" w:rsidRPr="000E29BA" w:rsidRDefault="000E29BA" w:rsidP="00A9139E">
            <w:pPr>
              <w:pStyle w:val="ListParagraph"/>
              <w:numPr>
                <w:ilvl w:val="0"/>
                <w:numId w:val="21"/>
              </w:numPr>
              <w:suppressAutoHyphens w:val="0"/>
              <w:spacing w:after="120"/>
              <w:ind w:left="714" w:right="204" w:hanging="357"/>
              <w:jc w:val="left"/>
              <w:rPr>
                <w:rFonts w:cs="Arial"/>
                <w:sz w:val="20"/>
              </w:rPr>
            </w:pPr>
            <w:r w:rsidRPr="000E29BA">
              <w:rPr>
                <w:rFonts w:cs="Arial"/>
                <w:sz w:val="20"/>
              </w:rPr>
              <w:t>Needle and syringe programme. NICE. PH 52. 2014</w:t>
            </w:r>
          </w:p>
          <w:p w14:paraId="721340CC" w14:textId="05F3C359" w:rsidR="000E29BA" w:rsidRDefault="000E29BA" w:rsidP="00A9139E">
            <w:pPr>
              <w:pStyle w:val="ListParagraph"/>
              <w:numPr>
                <w:ilvl w:val="0"/>
                <w:numId w:val="21"/>
              </w:numPr>
              <w:suppressAutoHyphens w:val="0"/>
              <w:spacing w:after="120"/>
              <w:ind w:left="714" w:right="204" w:hanging="357"/>
              <w:jc w:val="left"/>
              <w:rPr>
                <w:rFonts w:cs="Arial"/>
                <w:sz w:val="20"/>
              </w:rPr>
            </w:pPr>
            <w:r w:rsidRPr="000E29BA">
              <w:rPr>
                <w:rFonts w:cs="Arial"/>
                <w:sz w:val="20"/>
              </w:rPr>
              <w:t>Best practice for commissioners and providers of pharmaceutical services for drug users – service specification (tier 2 or 3). National Treatment Agency for Substance Misuse. 2006.</w:t>
            </w:r>
          </w:p>
          <w:p w14:paraId="7399D963" w14:textId="77777777" w:rsidR="00644C0C" w:rsidRPr="000E29BA" w:rsidRDefault="00644C0C" w:rsidP="00644C0C">
            <w:pPr>
              <w:pStyle w:val="ListParagraph"/>
              <w:suppressAutoHyphens w:val="0"/>
              <w:spacing w:after="120"/>
              <w:ind w:left="714" w:right="204"/>
              <w:jc w:val="left"/>
              <w:rPr>
                <w:rFonts w:cs="Arial"/>
                <w:sz w:val="20"/>
              </w:rPr>
            </w:pPr>
          </w:p>
          <w:p w14:paraId="65430560" w14:textId="77777777" w:rsidR="006A283E" w:rsidRPr="00450A42" w:rsidRDefault="006A283E" w:rsidP="006A283E">
            <w:pPr>
              <w:pStyle w:val="BodyText"/>
              <w:rPr>
                <w:rFonts w:ascii="Arial Bold" w:hAnsi="Arial Bold" w:cs="Arial Bold"/>
                <w:bCs/>
                <w:color w:val="339966"/>
                <w:sz w:val="20"/>
              </w:rPr>
            </w:pPr>
            <w:r w:rsidRPr="00450A42">
              <w:rPr>
                <w:rFonts w:ascii="Arial Bold" w:hAnsi="Arial Bold" w:cs="Arial Bold"/>
                <w:bCs/>
                <w:color w:val="339966"/>
                <w:sz w:val="20"/>
              </w:rPr>
              <w:t>3.2 Audit</w:t>
            </w:r>
          </w:p>
          <w:p w14:paraId="57321F19" w14:textId="01DE0B40" w:rsidR="006A283E" w:rsidRPr="00644C0C" w:rsidRDefault="006A283E" w:rsidP="00A9139E">
            <w:pPr>
              <w:numPr>
                <w:ilvl w:val="0"/>
                <w:numId w:val="19"/>
              </w:numPr>
              <w:suppressAutoHyphens w:val="0"/>
              <w:spacing w:after="120"/>
              <w:ind w:left="714" w:right="204" w:hanging="357"/>
              <w:jc w:val="left"/>
              <w:rPr>
                <w:rFonts w:eastAsia="MS ??" w:cs="Arial"/>
                <w:bCs/>
                <w:sz w:val="20"/>
              </w:rPr>
            </w:pPr>
            <w:r w:rsidRPr="00644C0C">
              <w:rPr>
                <w:rFonts w:eastAsia="MS ??" w:cs="Arial"/>
                <w:bCs/>
                <w:sz w:val="20"/>
              </w:rPr>
              <w:t xml:space="preserve">Providers will take part in the </w:t>
            </w:r>
            <w:r w:rsidRPr="00644C0C">
              <w:rPr>
                <w:rFonts w:eastAsia="MS ??" w:cs="Arial"/>
                <w:bCs/>
                <w:sz w:val="20"/>
                <w:lang w:val="en"/>
              </w:rPr>
              <w:t>General Pharmaceutical Council (</w:t>
            </w:r>
            <w:proofErr w:type="spellStart"/>
            <w:r w:rsidRPr="00644C0C">
              <w:rPr>
                <w:rFonts w:eastAsia="MS ??" w:cs="Arial"/>
                <w:bCs/>
                <w:sz w:val="20"/>
              </w:rPr>
              <w:t>GPhC</w:t>
            </w:r>
            <w:proofErr w:type="spellEnd"/>
            <w:r w:rsidRPr="00644C0C">
              <w:rPr>
                <w:rFonts w:eastAsia="MS ??" w:cs="Arial"/>
                <w:bCs/>
                <w:sz w:val="20"/>
              </w:rPr>
              <w:t>) annual national audit programme</w:t>
            </w:r>
            <w:r w:rsidR="002453F6">
              <w:rPr>
                <w:rFonts w:eastAsia="MS ??" w:cs="Arial"/>
                <w:bCs/>
                <w:sz w:val="20"/>
              </w:rPr>
              <w:t>.</w:t>
            </w:r>
          </w:p>
          <w:p w14:paraId="38DFD926" w14:textId="40FE9670" w:rsidR="006A283E" w:rsidRPr="00644C0C" w:rsidRDefault="006A283E" w:rsidP="00A9139E">
            <w:pPr>
              <w:numPr>
                <w:ilvl w:val="0"/>
                <w:numId w:val="19"/>
              </w:numPr>
              <w:suppressAutoHyphens w:val="0"/>
              <w:spacing w:after="120"/>
              <w:ind w:left="714" w:right="204" w:hanging="357"/>
              <w:jc w:val="left"/>
              <w:rPr>
                <w:rFonts w:eastAsia="MS ??" w:cs="Arial"/>
                <w:bCs/>
                <w:sz w:val="20"/>
              </w:rPr>
            </w:pPr>
            <w:bookmarkStart w:id="0" w:name="_Hlk17201370"/>
            <w:r w:rsidRPr="00644C0C">
              <w:rPr>
                <w:rFonts w:eastAsia="MS ??" w:cs="Arial"/>
                <w:bCs/>
                <w:sz w:val="20"/>
              </w:rPr>
              <w:t>Providers will complete the NHSE-I annual Community Pharmacy Assessment Framework (CPAF) screening questionnaire</w:t>
            </w:r>
            <w:r w:rsidR="002453F6">
              <w:rPr>
                <w:rFonts w:eastAsia="MS ??" w:cs="Arial"/>
                <w:bCs/>
                <w:sz w:val="20"/>
              </w:rPr>
              <w:t>.</w:t>
            </w:r>
          </w:p>
          <w:bookmarkEnd w:id="0"/>
          <w:p w14:paraId="7E9A6330" w14:textId="77777777" w:rsidR="006A283E" w:rsidRPr="00644C0C" w:rsidRDefault="006A283E" w:rsidP="006A283E">
            <w:pPr>
              <w:suppressAutoHyphens w:val="0"/>
              <w:ind w:left="720" w:right="206"/>
              <w:jc w:val="left"/>
              <w:rPr>
                <w:rFonts w:cs="Arial"/>
                <w:bCs/>
                <w:sz w:val="22"/>
                <w:szCs w:val="22"/>
              </w:rPr>
            </w:pPr>
          </w:p>
          <w:p w14:paraId="03DC2738" w14:textId="77777777" w:rsidR="006A283E" w:rsidRPr="00644C0C" w:rsidRDefault="006A283E" w:rsidP="006A283E">
            <w:pPr>
              <w:pStyle w:val="BodyText"/>
              <w:rPr>
                <w:rFonts w:ascii="Arial Bold" w:hAnsi="Arial Bold" w:cs="Arial Bold"/>
                <w:bCs/>
                <w:color w:val="339966"/>
                <w:sz w:val="20"/>
              </w:rPr>
            </w:pPr>
            <w:r w:rsidRPr="00644C0C">
              <w:rPr>
                <w:rFonts w:ascii="Arial Bold" w:hAnsi="Arial Bold" w:cs="Arial Bold"/>
                <w:bCs/>
                <w:color w:val="339966"/>
                <w:sz w:val="20"/>
              </w:rPr>
              <w:t xml:space="preserve">3.3 Risk Management </w:t>
            </w:r>
          </w:p>
          <w:p w14:paraId="2FD94FB5" w14:textId="77777777" w:rsidR="006A283E" w:rsidRPr="00644C0C" w:rsidRDefault="006A283E" w:rsidP="00A9139E">
            <w:pPr>
              <w:pStyle w:val="BodyText"/>
              <w:numPr>
                <w:ilvl w:val="0"/>
                <w:numId w:val="19"/>
              </w:numPr>
              <w:spacing w:after="120"/>
              <w:ind w:left="714" w:hanging="357"/>
              <w:rPr>
                <w:rFonts w:eastAsia="Times New Roman"/>
                <w:bCs/>
                <w:sz w:val="20"/>
                <w:szCs w:val="20"/>
              </w:rPr>
            </w:pPr>
            <w:r w:rsidRPr="00644C0C">
              <w:rPr>
                <w:rFonts w:eastAsia="Times New Roman"/>
                <w:bCs/>
                <w:sz w:val="20"/>
                <w:szCs w:val="20"/>
              </w:rPr>
              <w:t>Providers must comply with latest Infection Prevention Control Guidance IPC</w:t>
            </w:r>
          </w:p>
          <w:p w14:paraId="3ED3ADB8" w14:textId="1FD5BF38" w:rsidR="006A283E" w:rsidRPr="00644C0C" w:rsidRDefault="006A283E" w:rsidP="00A9139E">
            <w:pPr>
              <w:pStyle w:val="BodyText"/>
              <w:numPr>
                <w:ilvl w:val="0"/>
                <w:numId w:val="19"/>
              </w:numPr>
              <w:spacing w:after="120"/>
              <w:ind w:left="714" w:hanging="357"/>
              <w:rPr>
                <w:rFonts w:eastAsia="Times New Roman"/>
                <w:bCs/>
                <w:sz w:val="20"/>
                <w:szCs w:val="20"/>
              </w:rPr>
            </w:pPr>
            <w:r w:rsidRPr="00644C0C">
              <w:rPr>
                <w:rFonts w:eastAsia="Times New Roman"/>
                <w:bCs/>
                <w:sz w:val="20"/>
                <w:szCs w:val="20"/>
              </w:rPr>
              <w:t xml:space="preserve">Any serious incidents </w:t>
            </w:r>
            <w:r w:rsidR="001352B1">
              <w:rPr>
                <w:rFonts w:eastAsia="Times New Roman"/>
                <w:bCs/>
                <w:sz w:val="20"/>
                <w:szCs w:val="20"/>
              </w:rPr>
              <w:t>must</w:t>
            </w:r>
            <w:r w:rsidRPr="00644C0C">
              <w:rPr>
                <w:rFonts w:eastAsia="Times New Roman"/>
                <w:bCs/>
                <w:sz w:val="20"/>
                <w:szCs w:val="20"/>
              </w:rPr>
              <w:t xml:space="preserve"> be reported in accordance with the providers local incident reporting policy and NHSE reporting requirements</w:t>
            </w:r>
            <w:r w:rsidR="001352B1">
              <w:rPr>
                <w:rFonts w:eastAsia="Times New Roman"/>
                <w:bCs/>
                <w:sz w:val="20"/>
                <w:szCs w:val="20"/>
              </w:rPr>
              <w:t xml:space="preserve"> </w:t>
            </w:r>
            <w:r w:rsidRPr="00644C0C">
              <w:rPr>
                <w:rFonts w:eastAsia="Times New Roman"/>
                <w:bCs/>
                <w:sz w:val="20"/>
                <w:szCs w:val="20"/>
              </w:rPr>
              <w:t>as applicable and notified to the commissioner within one week. The provider should also provide assurance of actions taken and sharing the Lessons Learned.</w:t>
            </w:r>
          </w:p>
          <w:p w14:paraId="59BC32F3" w14:textId="7D730142" w:rsidR="006A283E" w:rsidRPr="00644C0C" w:rsidRDefault="006A283E" w:rsidP="00A9139E">
            <w:pPr>
              <w:pStyle w:val="BodyText"/>
              <w:numPr>
                <w:ilvl w:val="0"/>
                <w:numId w:val="19"/>
              </w:numPr>
              <w:spacing w:after="120"/>
              <w:ind w:left="714" w:hanging="357"/>
              <w:rPr>
                <w:bCs/>
                <w:sz w:val="20"/>
              </w:rPr>
            </w:pPr>
            <w:r w:rsidRPr="00644C0C">
              <w:rPr>
                <w:bCs/>
                <w:sz w:val="20"/>
              </w:rPr>
              <w:t xml:space="preserve">Pharmacists should read, </w:t>
            </w:r>
            <w:proofErr w:type="gramStart"/>
            <w:r w:rsidRPr="00644C0C">
              <w:rPr>
                <w:bCs/>
                <w:sz w:val="20"/>
              </w:rPr>
              <w:t>understand</w:t>
            </w:r>
            <w:proofErr w:type="gramEnd"/>
            <w:r w:rsidRPr="00644C0C">
              <w:rPr>
                <w:bCs/>
                <w:sz w:val="20"/>
              </w:rPr>
              <w:t xml:space="preserve"> and sign the latest local PGD’s (available on the </w:t>
            </w:r>
            <w:r w:rsidR="001352B1">
              <w:rPr>
                <w:bCs/>
                <w:sz w:val="20"/>
              </w:rPr>
              <w:t>Avon Local Pharmaceutical Committee (</w:t>
            </w:r>
            <w:r w:rsidRPr="00644C0C">
              <w:rPr>
                <w:bCs/>
                <w:sz w:val="20"/>
              </w:rPr>
              <w:t>ALPC</w:t>
            </w:r>
            <w:r w:rsidR="001352B1">
              <w:rPr>
                <w:bCs/>
                <w:sz w:val="20"/>
              </w:rPr>
              <w:t>)</w:t>
            </w:r>
            <w:r w:rsidRPr="00644C0C">
              <w:rPr>
                <w:bCs/>
                <w:sz w:val="20"/>
              </w:rPr>
              <w:t xml:space="preserve"> website</w:t>
            </w:r>
            <w:r w:rsidR="001352B1">
              <w:rPr>
                <w:bCs/>
                <w:sz w:val="20"/>
              </w:rPr>
              <w:t xml:space="preserve">  </w:t>
            </w:r>
            <w:hyperlink r:id="rId9" w:history="1">
              <w:r w:rsidR="001352B1" w:rsidRPr="005C61E0">
                <w:rPr>
                  <w:rStyle w:val="Hyperlink"/>
                  <w:bCs/>
                  <w:sz w:val="20"/>
                </w:rPr>
                <w:t>https://avon.communitypharmacy.org.uk/</w:t>
              </w:r>
            </w:hyperlink>
            <w:r w:rsidR="001352B1">
              <w:rPr>
                <w:bCs/>
                <w:sz w:val="20"/>
              </w:rPr>
              <w:t xml:space="preserve"> </w:t>
            </w:r>
            <w:r w:rsidRPr="00644C0C">
              <w:rPr>
                <w:bCs/>
                <w:sz w:val="20"/>
              </w:rPr>
              <w:t>. The signed PGDs should be retained and made available for reference in each pharmacy.</w:t>
            </w:r>
          </w:p>
          <w:p w14:paraId="23FB7C94" w14:textId="77777777" w:rsidR="006A283E" w:rsidRPr="00644C0C" w:rsidRDefault="006A283E" w:rsidP="006A283E">
            <w:pPr>
              <w:pStyle w:val="BodyText"/>
              <w:ind w:left="720"/>
              <w:rPr>
                <w:bCs/>
                <w:sz w:val="20"/>
                <w:szCs w:val="20"/>
              </w:rPr>
            </w:pPr>
          </w:p>
          <w:p w14:paraId="01E70D9D" w14:textId="77777777" w:rsidR="006A283E" w:rsidRPr="00644C0C" w:rsidRDefault="006A283E" w:rsidP="006A283E">
            <w:pPr>
              <w:pStyle w:val="BodyText"/>
              <w:rPr>
                <w:rFonts w:ascii="Arial Bold" w:hAnsi="Arial Bold" w:cs="Arial Bold"/>
                <w:bCs/>
                <w:color w:val="339966"/>
                <w:sz w:val="20"/>
              </w:rPr>
            </w:pPr>
            <w:r w:rsidRPr="00644C0C">
              <w:rPr>
                <w:rFonts w:ascii="Arial Bold" w:hAnsi="Arial Bold" w:cs="Arial Bold"/>
                <w:bCs/>
                <w:color w:val="339966"/>
                <w:sz w:val="20"/>
              </w:rPr>
              <w:t>3.4 Education and Training</w:t>
            </w:r>
          </w:p>
          <w:p w14:paraId="5B099B22" w14:textId="353F53A1" w:rsidR="000E29BA" w:rsidRPr="00644C0C" w:rsidRDefault="006A283E" w:rsidP="00A9139E">
            <w:pPr>
              <w:pStyle w:val="BodyText"/>
              <w:numPr>
                <w:ilvl w:val="0"/>
                <w:numId w:val="19"/>
              </w:numPr>
              <w:spacing w:after="120"/>
              <w:ind w:left="714" w:hanging="357"/>
              <w:rPr>
                <w:sz w:val="20"/>
              </w:rPr>
            </w:pPr>
            <w:r w:rsidRPr="00644C0C">
              <w:rPr>
                <w:sz w:val="20"/>
              </w:rPr>
              <w:t xml:space="preserve">Pharmacists participating in this service specification must have declared themselves competent to do so and provide the evidence using the Declaration of Competence system on Pharm Outcomes. Relevant support and guidance will be provided by the ALPC.  </w:t>
            </w:r>
          </w:p>
          <w:p w14:paraId="7E34A6B5" w14:textId="77777777" w:rsidR="000E29BA" w:rsidRPr="00644C0C" w:rsidRDefault="006A283E" w:rsidP="00A9139E">
            <w:pPr>
              <w:pStyle w:val="BodyText"/>
              <w:numPr>
                <w:ilvl w:val="0"/>
                <w:numId w:val="19"/>
              </w:numPr>
              <w:spacing w:after="120"/>
              <w:ind w:left="714" w:hanging="357"/>
              <w:rPr>
                <w:b/>
                <w:bCs/>
                <w:color w:val="339966"/>
                <w:sz w:val="20"/>
                <w:szCs w:val="20"/>
              </w:rPr>
            </w:pPr>
            <w:r w:rsidRPr="00644C0C">
              <w:rPr>
                <w:bCs/>
                <w:sz w:val="20"/>
              </w:rPr>
              <w:t>P</w:t>
            </w:r>
            <w:r w:rsidRPr="00644C0C">
              <w:rPr>
                <w:sz w:val="20"/>
              </w:rPr>
              <w:t>harmacists should review the self-declaration form at least every 3 years or, earlier if the Pharmacists feels his/her competence levels have declined due to undertaking too few consultations.</w:t>
            </w:r>
            <w:r w:rsidR="000E29BA" w:rsidRPr="00644C0C">
              <w:rPr>
                <w:sz w:val="20"/>
              </w:rPr>
              <w:t xml:space="preserve"> </w:t>
            </w:r>
          </w:p>
          <w:p w14:paraId="4BE9BC69" w14:textId="77777777" w:rsidR="006A283E" w:rsidRPr="00644C0C" w:rsidRDefault="006A283E" w:rsidP="006A283E">
            <w:pPr>
              <w:pStyle w:val="BodyText"/>
              <w:ind w:left="720"/>
              <w:rPr>
                <w:sz w:val="20"/>
              </w:rPr>
            </w:pPr>
          </w:p>
          <w:p w14:paraId="60EDD804" w14:textId="77777777" w:rsidR="006A283E" w:rsidRPr="00644C0C" w:rsidRDefault="006A283E" w:rsidP="006A283E">
            <w:pPr>
              <w:pStyle w:val="BodyText"/>
              <w:rPr>
                <w:rFonts w:ascii="Arial Bold" w:hAnsi="Arial Bold" w:cs="Arial Bold"/>
                <w:bCs/>
                <w:color w:val="339966"/>
                <w:sz w:val="20"/>
              </w:rPr>
            </w:pPr>
            <w:r w:rsidRPr="00644C0C">
              <w:rPr>
                <w:rFonts w:ascii="Arial Bold" w:hAnsi="Arial Bold" w:cs="Arial Bold"/>
                <w:bCs/>
                <w:color w:val="339966"/>
                <w:sz w:val="20"/>
              </w:rPr>
              <w:t xml:space="preserve">3.5 Patient and Public Involvement (PPI) </w:t>
            </w:r>
          </w:p>
          <w:p w14:paraId="1F85036C" w14:textId="77777777" w:rsidR="006A283E" w:rsidRPr="00644C0C" w:rsidRDefault="006A283E" w:rsidP="00A9139E">
            <w:pPr>
              <w:pStyle w:val="BodyText"/>
              <w:numPr>
                <w:ilvl w:val="0"/>
                <w:numId w:val="20"/>
              </w:numPr>
              <w:spacing w:after="120"/>
              <w:ind w:left="714" w:hanging="357"/>
              <w:rPr>
                <w:bCs/>
                <w:sz w:val="20"/>
                <w:szCs w:val="20"/>
              </w:rPr>
            </w:pPr>
            <w:r w:rsidRPr="00644C0C">
              <w:rPr>
                <w:bCs/>
                <w:sz w:val="20"/>
                <w:szCs w:val="20"/>
              </w:rPr>
              <w:t>Pharmacies will complete the annual Community Pharmacy Patient Questionnaire (CPPQ) and review feedback</w:t>
            </w:r>
            <w:r w:rsidRPr="00644C0C">
              <w:rPr>
                <w:rFonts w:eastAsiaTheme="minorHAnsi"/>
                <w:sz w:val="20"/>
                <w:szCs w:val="20"/>
              </w:rPr>
              <w:t xml:space="preserve"> </w:t>
            </w:r>
            <w:r w:rsidRPr="00644C0C">
              <w:rPr>
                <w:bCs/>
                <w:sz w:val="20"/>
                <w:szCs w:val="20"/>
              </w:rPr>
              <w:t xml:space="preserve">to evaluate public health commissioned services where appropriate and use this information to support service improvement. </w:t>
            </w:r>
          </w:p>
          <w:p w14:paraId="4CE10446" w14:textId="77777777" w:rsidR="006A283E" w:rsidRPr="00644C0C" w:rsidRDefault="006A283E" w:rsidP="00A9139E">
            <w:pPr>
              <w:pStyle w:val="ListParagraph"/>
              <w:numPr>
                <w:ilvl w:val="0"/>
                <w:numId w:val="20"/>
              </w:numPr>
              <w:spacing w:after="120"/>
              <w:ind w:left="714" w:hanging="357"/>
              <w:rPr>
                <w:bCs/>
                <w:sz w:val="20"/>
              </w:rPr>
            </w:pPr>
            <w:r w:rsidRPr="00644C0C">
              <w:rPr>
                <w:bCs/>
                <w:sz w:val="20"/>
              </w:rPr>
              <w:t>The pharmacy co-operates with any locally agreed North Somerset Led assessment of service user experience. This includes being willing to participate in periodic ‘mystery shopping’ exercises to monitor quality.</w:t>
            </w:r>
          </w:p>
          <w:p w14:paraId="6F6DDA8D" w14:textId="77777777" w:rsidR="006A283E" w:rsidRPr="00644C0C" w:rsidRDefault="006A283E" w:rsidP="006A283E">
            <w:pPr>
              <w:pStyle w:val="BodyText"/>
              <w:ind w:left="360"/>
              <w:rPr>
                <w:bCs/>
                <w:sz w:val="20"/>
                <w:szCs w:val="20"/>
              </w:rPr>
            </w:pPr>
          </w:p>
          <w:p w14:paraId="64664D5B" w14:textId="77777777" w:rsidR="006A283E" w:rsidRPr="00836DDE" w:rsidRDefault="006A283E" w:rsidP="006A283E">
            <w:pPr>
              <w:pStyle w:val="Default"/>
              <w:rPr>
                <w:sz w:val="20"/>
              </w:rPr>
            </w:pPr>
            <w:r w:rsidRPr="00644C0C">
              <w:rPr>
                <w:rFonts w:eastAsia="MS ??"/>
                <w:color w:val="auto"/>
                <w:sz w:val="20"/>
                <w:szCs w:val="22"/>
              </w:rPr>
              <w:t xml:space="preserve">Pharmacists are required to complete an annual Pharmacy Clinical Governance Assurance Statement to provide assurance that public health commissioned services in North Somerset are safe, </w:t>
            </w:r>
            <w:proofErr w:type="gramStart"/>
            <w:r w:rsidRPr="00644C0C">
              <w:rPr>
                <w:rFonts w:eastAsia="MS ??"/>
                <w:color w:val="auto"/>
                <w:sz w:val="20"/>
                <w:szCs w:val="22"/>
              </w:rPr>
              <w:t>effective</w:t>
            </w:r>
            <w:proofErr w:type="gramEnd"/>
            <w:r w:rsidRPr="00644C0C">
              <w:rPr>
                <w:rFonts w:eastAsia="MS ??"/>
                <w:color w:val="auto"/>
                <w:sz w:val="20"/>
                <w:szCs w:val="22"/>
              </w:rPr>
              <w:t xml:space="preserve"> and meet the required quality standards.</w:t>
            </w:r>
          </w:p>
        </w:tc>
      </w:tr>
      <w:tr w:rsidR="006A283E" w:rsidRPr="009E2A23" w14:paraId="0D43C135" w14:textId="77777777" w:rsidTr="00836DDE">
        <w:tc>
          <w:tcPr>
            <w:tcW w:w="5000" w:type="pct"/>
            <w:tcBorders>
              <w:top w:val="single" w:sz="4" w:space="0" w:color="999999"/>
              <w:left w:val="single" w:sz="4" w:space="0" w:color="999999"/>
              <w:bottom w:val="single" w:sz="4" w:space="0" w:color="999999"/>
              <w:right w:val="single" w:sz="4" w:space="0" w:color="999999"/>
            </w:tcBorders>
            <w:shd w:val="clear" w:color="auto" w:fill="666666"/>
          </w:tcPr>
          <w:p w14:paraId="30D4C50E" w14:textId="77777777" w:rsidR="006A283E" w:rsidRPr="00C5026F" w:rsidRDefault="006A283E" w:rsidP="006A283E">
            <w:pPr>
              <w:pStyle w:val="BodyText"/>
              <w:jc w:val="both"/>
              <w:rPr>
                <w:color w:val="FFFF00"/>
                <w:sz w:val="20"/>
                <w:szCs w:val="20"/>
              </w:rPr>
            </w:pPr>
            <w:r>
              <w:rPr>
                <w:color w:val="FFFF00"/>
                <w:sz w:val="20"/>
                <w:szCs w:val="20"/>
              </w:rPr>
              <w:t>4</w:t>
            </w:r>
            <w:r w:rsidRPr="00C5026F">
              <w:rPr>
                <w:color w:val="FFFF00"/>
                <w:sz w:val="20"/>
                <w:szCs w:val="20"/>
              </w:rPr>
              <w:t xml:space="preserve">.  </w:t>
            </w:r>
            <w:r>
              <w:rPr>
                <w:color w:val="FFFF00"/>
                <w:sz w:val="20"/>
                <w:szCs w:val="20"/>
              </w:rPr>
              <w:t>Information provision</w:t>
            </w:r>
          </w:p>
          <w:p w14:paraId="6D987815" w14:textId="77777777" w:rsidR="006A283E" w:rsidRPr="009E2A23" w:rsidRDefault="006A283E" w:rsidP="006A283E">
            <w:pPr>
              <w:pStyle w:val="BodyText"/>
              <w:jc w:val="both"/>
              <w:rPr>
                <w:color w:val="FFFFFF"/>
                <w:sz w:val="10"/>
                <w:szCs w:val="10"/>
                <w:u w:val="single"/>
              </w:rPr>
            </w:pPr>
          </w:p>
        </w:tc>
      </w:tr>
      <w:tr w:rsidR="006A283E" w:rsidRPr="009E2A23" w14:paraId="21E89F1A" w14:textId="77777777" w:rsidTr="002E3B03">
        <w:tc>
          <w:tcPr>
            <w:tcW w:w="5000" w:type="pct"/>
            <w:tcBorders>
              <w:top w:val="single" w:sz="4" w:space="0" w:color="999999"/>
              <w:left w:val="single" w:sz="4" w:space="0" w:color="999999"/>
              <w:bottom w:val="single" w:sz="4" w:space="0" w:color="999999"/>
              <w:right w:val="single" w:sz="4" w:space="0" w:color="999999"/>
            </w:tcBorders>
            <w:shd w:val="clear" w:color="auto" w:fill="auto"/>
          </w:tcPr>
          <w:p w14:paraId="7B57C03A" w14:textId="77777777" w:rsidR="006A283E" w:rsidRDefault="006A283E" w:rsidP="006A283E">
            <w:pPr>
              <w:jc w:val="left"/>
              <w:rPr>
                <w:rFonts w:cs="Arial"/>
                <w:b/>
                <w:color w:val="339966"/>
                <w:sz w:val="20"/>
              </w:rPr>
            </w:pPr>
          </w:p>
          <w:p w14:paraId="75B7E799" w14:textId="28A6BEFE" w:rsidR="00DF5DF0" w:rsidRDefault="006A283E" w:rsidP="001352B1">
            <w:pPr>
              <w:jc w:val="left"/>
              <w:rPr>
                <w:rFonts w:cs="Arial"/>
                <w:sz w:val="20"/>
              </w:rPr>
            </w:pPr>
            <w:r>
              <w:rPr>
                <w:rFonts w:cs="Arial"/>
                <w:b/>
                <w:color w:val="339966"/>
                <w:sz w:val="20"/>
              </w:rPr>
              <w:t>4</w:t>
            </w:r>
            <w:r w:rsidRPr="00DC3634">
              <w:rPr>
                <w:rFonts w:cs="Arial"/>
                <w:b/>
                <w:color w:val="339966"/>
                <w:sz w:val="20"/>
              </w:rPr>
              <w:t xml:space="preserve">.1 </w:t>
            </w:r>
            <w:r>
              <w:rPr>
                <w:rFonts w:cs="Arial"/>
                <w:b/>
                <w:color w:val="339966"/>
                <w:sz w:val="20"/>
              </w:rPr>
              <w:t>Record of activity</w:t>
            </w:r>
          </w:p>
          <w:p w14:paraId="0BC7720A" w14:textId="4F6A6590" w:rsidR="006A283E" w:rsidRPr="002E3B03" w:rsidRDefault="00DF5DF0" w:rsidP="006A283E">
            <w:pPr>
              <w:suppressAutoHyphens w:val="0"/>
              <w:contextualSpacing/>
              <w:jc w:val="left"/>
              <w:rPr>
                <w:rFonts w:cs="Arial"/>
                <w:sz w:val="20"/>
              </w:rPr>
            </w:pPr>
            <w:r>
              <w:rPr>
                <w:rFonts w:cs="Arial"/>
                <w:sz w:val="20"/>
              </w:rPr>
              <w:t xml:space="preserve">All activity must be recorded on PharmOutcomes using the templates under ‘North Somerset Needle Exchange Service’.  Payment will be based on invoices generated by the system on the 25th of the month after the activity month. </w:t>
            </w:r>
          </w:p>
          <w:p w14:paraId="7D6E9803" w14:textId="77777777" w:rsidR="006A283E" w:rsidRPr="00AB3815" w:rsidRDefault="006A283E" w:rsidP="006A283E">
            <w:pPr>
              <w:pStyle w:val="BodyText"/>
              <w:jc w:val="both"/>
              <w:rPr>
                <w:sz w:val="20"/>
                <w:szCs w:val="20"/>
              </w:rPr>
            </w:pPr>
          </w:p>
          <w:p w14:paraId="16CA95A4" w14:textId="77777777" w:rsidR="006A283E" w:rsidRPr="00013588" w:rsidRDefault="006A283E" w:rsidP="006A283E">
            <w:pPr>
              <w:pStyle w:val="BodyText"/>
              <w:jc w:val="both"/>
              <w:rPr>
                <w:b/>
                <w:bCs/>
                <w:color w:val="339966"/>
                <w:sz w:val="20"/>
                <w:szCs w:val="20"/>
              </w:rPr>
            </w:pPr>
            <w:r>
              <w:rPr>
                <w:b/>
                <w:bCs/>
                <w:color w:val="339966"/>
                <w:sz w:val="20"/>
                <w:szCs w:val="20"/>
              </w:rPr>
              <w:t>4</w:t>
            </w:r>
            <w:r w:rsidRPr="00013588">
              <w:rPr>
                <w:b/>
                <w:bCs/>
                <w:color w:val="339966"/>
                <w:sz w:val="20"/>
                <w:szCs w:val="20"/>
              </w:rPr>
              <w:t>.2 Service user feedback</w:t>
            </w:r>
          </w:p>
          <w:p w14:paraId="74DB7371" w14:textId="19E411E9" w:rsidR="006A283E" w:rsidRPr="0034713E" w:rsidRDefault="00644C0C" w:rsidP="006A283E">
            <w:pPr>
              <w:rPr>
                <w:rFonts w:cs="Arial"/>
                <w:sz w:val="20"/>
              </w:rPr>
            </w:pPr>
            <w:r>
              <w:rPr>
                <w:rFonts w:cs="Arial"/>
                <w:sz w:val="20"/>
              </w:rPr>
              <w:t>Service user feedback will be obtained through the annual community questionnaire, and adverse comments will be monitored and associated pharmacies contacted to review</w:t>
            </w:r>
          </w:p>
        </w:tc>
      </w:tr>
      <w:tr w:rsidR="006A283E" w:rsidRPr="009E2A23" w14:paraId="77BFABE3" w14:textId="77777777" w:rsidTr="00836DDE">
        <w:tc>
          <w:tcPr>
            <w:tcW w:w="5000" w:type="pct"/>
            <w:tcBorders>
              <w:top w:val="single" w:sz="4" w:space="0" w:color="999999"/>
              <w:left w:val="single" w:sz="4" w:space="0" w:color="999999"/>
              <w:bottom w:val="single" w:sz="4" w:space="0" w:color="999999"/>
              <w:right w:val="single" w:sz="4" w:space="0" w:color="999999"/>
            </w:tcBorders>
            <w:shd w:val="clear" w:color="auto" w:fill="666666"/>
          </w:tcPr>
          <w:p w14:paraId="742C7565" w14:textId="77777777" w:rsidR="006A283E" w:rsidRPr="009E2A23" w:rsidRDefault="006A283E" w:rsidP="006A283E">
            <w:pPr>
              <w:pStyle w:val="BodyText"/>
              <w:jc w:val="both"/>
              <w:rPr>
                <w:color w:val="FFFFFF"/>
                <w:sz w:val="10"/>
                <w:szCs w:val="10"/>
                <w:u w:val="single"/>
              </w:rPr>
            </w:pPr>
          </w:p>
          <w:p w14:paraId="68A0926F" w14:textId="77777777" w:rsidR="006A283E" w:rsidRPr="00C5026F" w:rsidRDefault="006A283E" w:rsidP="006A283E">
            <w:pPr>
              <w:pStyle w:val="BodyText"/>
              <w:jc w:val="both"/>
              <w:rPr>
                <w:color w:val="FFFF00"/>
                <w:sz w:val="20"/>
                <w:szCs w:val="20"/>
              </w:rPr>
            </w:pPr>
            <w:r>
              <w:rPr>
                <w:color w:val="FFFF00"/>
                <w:sz w:val="20"/>
                <w:szCs w:val="20"/>
              </w:rPr>
              <w:t>5</w:t>
            </w:r>
            <w:r w:rsidRPr="00C5026F">
              <w:rPr>
                <w:color w:val="FFFF00"/>
                <w:sz w:val="20"/>
                <w:szCs w:val="20"/>
              </w:rPr>
              <w:t xml:space="preserve">.  </w:t>
            </w:r>
            <w:r>
              <w:rPr>
                <w:color w:val="FFFF00"/>
                <w:sz w:val="20"/>
                <w:szCs w:val="20"/>
              </w:rPr>
              <w:t>Key Performance Indicators</w:t>
            </w:r>
          </w:p>
          <w:p w14:paraId="731E9825" w14:textId="77777777" w:rsidR="006A283E" w:rsidRPr="009E2A23" w:rsidRDefault="006A283E" w:rsidP="006A283E">
            <w:pPr>
              <w:pStyle w:val="BodyText"/>
              <w:jc w:val="both"/>
              <w:rPr>
                <w:color w:val="FFFFFF"/>
                <w:sz w:val="10"/>
                <w:szCs w:val="10"/>
                <w:u w:val="single"/>
              </w:rPr>
            </w:pPr>
          </w:p>
        </w:tc>
      </w:tr>
      <w:tr w:rsidR="006A283E" w:rsidRPr="009E2A23" w14:paraId="77F975E7" w14:textId="77777777" w:rsidTr="00836DDE">
        <w:tc>
          <w:tcPr>
            <w:tcW w:w="5000" w:type="pct"/>
            <w:tcBorders>
              <w:top w:val="single" w:sz="4" w:space="0" w:color="999999"/>
              <w:left w:val="single" w:sz="4" w:space="0" w:color="999999"/>
              <w:bottom w:val="single" w:sz="4" w:space="0" w:color="999999"/>
              <w:right w:val="single" w:sz="4" w:space="0" w:color="999999"/>
            </w:tcBorders>
          </w:tcPr>
          <w:p w14:paraId="0479C835" w14:textId="65F5FAE3" w:rsidR="007179C6" w:rsidRPr="00EF1CAF" w:rsidRDefault="007179C6" w:rsidP="007179C6">
            <w:pPr>
              <w:pStyle w:val="BodyText"/>
              <w:jc w:val="both"/>
              <w:rPr>
                <w:sz w:val="20"/>
                <w:szCs w:val="20"/>
              </w:rPr>
            </w:pPr>
            <w:r w:rsidRPr="00EF1CAF">
              <w:rPr>
                <w:sz w:val="20"/>
                <w:szCs w:val="20"/>
              </w:rPr>
              <w:t xml:space="preserve">This service will support the outcomes measured by </w:t>
            </w:r>
            <w:r w:rsidR="001352B1">
              <w:rPr>
                <w:sz w:val="20"/>
                <w:szCs w:val="20"/>
              </w:rPr>
              <w:t>the Department of Health and Social Care (DHSC) and the office of Health and Inequalities (OHID)</w:t>
            </w:r>
          </w:p>
          <w:p w14:paraId="4E7F0117" w14:textId="77777777" w:rsidR="007179C6" w:rsidRDefault="007179C6" w:rsidP="006A283E">
            <w:pPr>
              <w:pStyle w:val="BodyText"/>
              <w:jc w:val="both"/>
              <w:rPr>
                <w:sz w:val="20"/>
                <w:szCs w:val="20"/>
              </w:rPr>
            </w:pPr>
          </w:p>
          <w:p w14:paraId="0F322BC3" w14:textId="194D2926" w:rsidR="006A283E" w:rsidRDefault="00644C0C" w:rsidP="006A283E">
            <w:pPr>
              <w:pStyle w:val="BodyText"/>
              <w:jc w:val="both"/>
              <w:rPr>
                <w:sz w:val="20"/>
                <w:szCs w:val="20"/>
              </w:rPr>
            </w:pPr>
            <w:r>
              <w:rPr>
                <w:sz w:val="20"/>
                <w:szCs w:val="20"/>
              </w:rPr>
              <w:t>Service delivery will be monitored through data recorded on PharmOutcomes, critical incidents and service user feedback</w:t>
            </w:r>
            <w:r w:rsidR="007179C6">
              <w:rPr>
                <w:sz w:val="20"/>
                <w:szCs w:val="20"/>
              </w:rPr>
              <w:t>.</w:t>
            </w:r>
          </w:p>
          <w:p w14:paraId="5ADD5457" w14:textId="77777777" w:rsidR="006A283E" w:rsidRPr="009E2A23" w:rsidRDefault="006A283E" w:rsidP="006A283E">
            <w:pPr>
              <w:pStyle w:val="BodyText"/>
              <w:jc w:val="both"/>
              <w:rPr>
                <w:b/>
                <w:bCs/>
                <w:sz w:val="20"/>
                <w:szCs w:val="20"/>
              </w:rPr>
            </w:pPr>
          </w:p>
        </w:tc>
      </w:tr>
      <w:tr w:rsidR="006A283E" w:rsidRPr="009E2A23" w14:paraId="7B0FFD8D" w14:textId="77777777" w:rsidTr="009A4186">
        <w:tc>
          <w:tcPr>
            <w:tcW w:w="5000" w:type="pct"/>
            <w:tcBorders>
              <w:top w:val="single" w:sz="4" w:space="0" w:color="999999"/>
              <w:left w:val="single" w:sz="4" w:space="0" w:color="999999"/>
              <w:bottom w:val="single" w:sz="4" w:space="0" w:color="999999"/>
              <w:right w:val="single" w:sz="4" w:space="0" w:color="999999"/>
            </w:tcBorders>
            <w:shd w:val="clear" w:color="auto" w:fill="666666"/>
          </w:tcPr>
          <w:p w14:paraId="7117C7EC" w14:textId="77777777" w:rsidR="006A283E" w:rsidRPr="009E2A23" w:rsidRDefault="006A283E" w:rsidP="006A283E">
            <w:pPr>
              <w:pStyle w:val="BodyText"/>
              <w:jc w:val="both"/>
              <w:rPr>
                <w:color w:val="FFFFFF"/>
                <w:sz w:val="10"/>
                <w:szCs w:val="10"/>
                <w:u w:val="single"/>
              </w:rPr>
            </w:pPr>
          </w:p>
          <w:p w14:paraId="385DA1AB" w14:textId="5B8CBF3A" w:rsidR="006A283E" w:rsidRPr="009E2A23" w:rsidRDefault="001352B1" w:rsidP="006A283E">
            <w:pPr>
              <w:pStyle w:val="BodyText"/>
              <w:jc w:val="both"/>
              <w:rPr>
                <w:color w:val="FFFFFF"/>
                <w:sz w:val="10"/>
                <w:szCs w:val="10"/>
                <w:u w:val="single"/>
              </w:rPr>
            </w:pPr>
            <w:r>
              <w:rPr>
                <w:color w:val="FFFF00"/>
                <w:sz w:val="20"/>
                <w:szCs w:val="20"/>
              </w:rPr>
              <w:t>6</w:t>
            </w:r>
            <w:r w:rsidR="006A283E" w:rsidRPr="00C5026F">
              <w:rPr>
                <w:color w:val="FFFF00"/>
                <w:sz w:val="20"/>
                <w:szCs w:val="20"/>
              </w:rPr>
              <w:t xml:space="preserve">.  </w:t>
            </w:r>
            <w:r>
              <w:rPr>
                <w:color w:val="FFFF00"/>
                <w:sz w:val="20"/>
                <w:szCs w:val="20"/>
              </w:rPr>
              <w:t>Financial Details</w:t>
            </w:r>
          </w:p>
        </w:tc>
      </w:tr>
      <w:tr w:rsidR="00CA2D5E" w:rsidRPr="009E2A23" w14:paraId="6D708FFD" w14:textId="77777777" w:rsidTr="00CA2D5E">
        <w:tc>
          <w:tcPr>
            <w:tcW w:w="5000" w:type="pct"/>
            <w:tcBorders>
              <w:top w:val="single" w:sz="4" w:space="0" w:color="999999"/>
              <w:left w:val="single" w:sz="4" w:space="0" w:color="999999"/>
              <w:bottom w:val="single" w:sz="4" w:space="0" w:color="999999"/>
              <w:right w:val="single" w:sz="4" w:space="0" w:color="999999"/>
            </w:tcBorders>
            <w:shd w:val="clear" w:color="auto" w:fill="auto"/>
          </w:tcPr>
          <w:p w14:paraId="5BA015A5" w14:textId="0B5B0E02" w:rsidR="00CA2D5E" w:rsidRDefault="00CA2D5E" w:rsidP="00CA2D5E">
            <w:pPr>
              <w:jc w:val="left"/>
              <w:rPr>
                <w:rFonts w:cs="Arial"/>
                <w:b/>
                <w:color w:val="339966"/>
                <w:sz w:val="22"/>
                <w:szCs w:val="22"/>
              </w:rPr>
            </w:pPr>
          </w:p>
          <w:p w14:paraId="3183981C" w14:textId="11755B59" w:rsidR="00DF5DF0" w:rsidRPr="00CA2D5E" w:rsidRDefault="00DF5DF0" w:rsidP="00DF5DF0">
            <w:pPr>
              <w:jc w:val="left"/>
              <w:rPr>
                <w:rFonts w:cs="Arial"/>
                <w:color w:val="000000" w:themeColor="text1"/>
                <w:sz w:val="20"/>
              </w:rPr>
            </w:pPr>
            <w:r w:rsidRPr="00CA2D5E">
              <w:rPr>
                <w:rFonts w:cs="Arial"/>
                <w:color w:val="000000" w:themeColor="text1"/>
                <w:sz w:val="20"/>
              </w:rPr>
              <w:t xml:space="preserve">Claims will </w:t>
            </w:r>
            <w:r>
              <w:rPr>
                <w:rFonts w:cs="Arial"/>
                <w:color w:val="000000" w:themeColor="text1"/>
                <w:sz w:val="20"/>
              </w:rPr>
              <w:t xml:space="preserve">only </w:t>
            </w:r>
            <w:r w:rsidRPr="00CA2D5E">
              <w:rPr>
                <w:rFonts w:cs="Arial"/>
                <w:color w:val="000000" w:themeColor="text1"/>
                <w:sz w:val="20"/>
              </w:rPr>
              <w:t>be accepted up to 3 months after the end</w:t>
            </w:r>
            <w:r>
              <w:rPr>
                <w:rFonts w:cs="Arial"/>
                <w:color w:val="000000" w:themeColor="text1"/>
                <w:sz w:val="20"/>
              </w:rPr>
              <w:t xml:space="preserve"> of the month being claimed for (</w:t>
            </w:r>
            <w:r w:rsidRPr="00CA2D5E">
              <w:rPr>
                <w:rFonts w:cs="Arial"/>
                <w:color w:val="000000" w:themeColor="text1"/>
                <w:sz w:val="20"/>
              </w:rPr>
              <w:t>for example services delivered in April must be loaded onto PharmOutcomes by 25 July for any payment to be made</w:t>
            </w:r>
            <w:r>
              <w:rPr>
                <w:rFonts w:cs="Arial"/>
                <w:color w:val="000000" w:themeColor="text1"/>
                <w:sz w:val="20"/>
              </w:rPr>
              <w:t>)</w:t>
            </w:r>
            <w:r w:rsidRPr="00CA2D5E">
              <w:rPr>
                <w:rFonts w:cs="Arial"/>
                <w:color w:val="000000" w:themeColor="text1"/>
                <w:sz w:val="20"/>
              </w:rPr>
              <w:t>.</w:t>
            </w:r>
          </w:p>
          <w:p w14:paraId="46F3973C" w14:textId="4D39E46A" w:rsidR="00E140D3" w:rsidRDefault="00E140D3" w:rsidP="00E140D3">
            <w:pPr>
              <w:jc w:val="left"/>
              <w:rPr>
                <w:rFonts w:cs="Arial"/>
                <w:color w:val="000000" w:themeColor="text1"/>
                <w:sz w:val="22"/>
                <w:szCs w:val="22"/>
              </w:rPr>
            </w:pPr>
          </w:p>
          <w:p w14:paraId="573F098B" w14:textId="41910A88" w:rsidR="00CA2D5E" w:rsidRDefault="00CA2D5E" w:rsidP="00CA2D5E">
            <w:pPr>
              <w:jc w:val="left"/>
              <w:rPr>
                <w:rFonts w:cs="Arial"/>
                <w:sz w:val="20"/>
              </w:rPr>
            </w:pPr>
            <w:r w:rsidRPr="00CA2D5E">
              <w:rPr>
                <w:rFonts w:cs="Arial"/>
                <w:sz w:val="20"/>
              </w:rPr>
              <w:t>Payments will be based on the activity recorded on PharmOutcomes. Invoices will be calculated and submitted by PharmOutcomes monthly in arrears 25 days after the end of the month being claimed for.</w:t>
            </w:r>
          </w:p>
          <w:p w14:paraId="697FA31D" w14:textId="77777777" w:rsidR="002478CB" w:rsidRPr="00CA2D5E" w:rsidRDefault="002478CB" w:rsidP="00CA2D5E">
            <w:pPr>
              <w:jc w:val="left"/>
              <w:rPr>
                <w:rFonts w:cs="Arial"/>
                <w:sz w:val="20"/>
              </w:rPr>
            </w:pPr>
          </w:p>
          <w:p w14:paraId="2355FEA2" w14:textId="77777777" w:rsidR="00CA2D5E" w:rsidRPr="00CA2D5E" w:rsidRDefault="00CA2D5E" w:rsidP="00CA2D5E">
            <w:pPr>
              <w:jc w:val="left"/>
              <w:rPr>
                <w:rFonts w:cs="Arial"/>
                <w:color w:val="000000" w:themeColor="text1"/>
                <w:sz w:val="20"/>
              </w:rPr>
            </w:pPr>
            <w:r w:rsidRPr="00CA2D5E">
              <w:rPr>
                <w:rFonts w:cs="Arial"/>
                <w:color w:val="000000" w:themeColor="text1"/>
                <w:sz w:val="20"/>
              </w:rPr>
              <w:t>Payments will be made as follows:</w:t>
            </w:r>
          </w:p>
          <w:p w14:paraId="35165DB3" w14:textId="77777777" w:rsidR="00CA2D5E" w:rsidRPr="00CA2D5E" w:rsidRDefault="00CA2D5E" w:rsidP="00DF5DF0">
            <w:pPr>
              <w:pStyle w:val="ListParagraph"/>
              <w:numPr>
                <w:ilvl w:val="0"/>
                <w:numId w:val="22"/>
              </w:numPr>
              <w:spacing w:after="120"/>
              <w:ind w:left="714" w:hanging="357"/>
              <w:jc w:val="left"/>
              <w:rPr>
                <w:rFonts w:cs="Arial"/>
                <w:color w:val="000000" w:themeColor="text1"/>
                <w:sz w:val="20"/>
              </w:rPr>
            </w:pPr>
            <w:r w:rsidRPr="00CA2D5E">
              <w:rPr>
                <w:rFonts w:cs="Arial"/>
                <w:color w:val="000000" w:themeColor="text1"/>
                <w:sz w:val="20"/>
              </w:rPr>
              <w:t>A fixed fee of £15 per month if 1 or more packs are dispensed in the month (if no activity is recorded there will be no fixed fee paid)</w:t>
            </w:r>
          </w:p>
          <w:p w14:paraId="3615757E" w14:textId="744DE3E9" w:rsidR="00CA2D5E" w:rsidRPr="00CA2D5E" w:rsidRDefault="00CA2D5E" w:rsidP="00DF5DF0">
            <w:pPr>
              <w:pStyle w:val="ListParagraph"/>
              <w:numPr>
                <w:ilvl w:val="0"/>
                <w:numId w:val="22"/>
              </w:numPr>
              <w:spacing w:after="120"/>
              <w:ind w:left="714" w:hanging="357"/>
              <w:jc w:val="left"/>
              <w:rPr>
                <w:rFonts w:cs="Arial"/>
                <w:color w:val="000000" w:themeColor="text1"/>
                <w:sz w:val="20"/>
              </w:rPr>
            </w:pPr>
            <w:r w:rsidRPr="00CA2D5E">
              <w:rPr>
                <w:rFonts w:cs="Arial"/>
                <w:color w:val="000000" w:themeColor="text1"/>
                <w:sz w:val="20"/>
              </w:rPr>
              <w:t>£1.</w:t>
            </w:r>
            <w:r w:rsidR="005A078C">
              <w:rPr>
                <w:rFonts w:cs="Arial"/>
                <w:color w:val="000000" w:themeColor="text1"/>
                <w:sz w:val="20"/>
              </w:rPr>
              <w:t>75</w:t>
            </w:r>
            <w:r w:rsidRPr="00CA2D5E">
              <w:rPr>
                <w:rFonts w:cs="Arial"/>
                <w:color w:val="000000" w:themeColor="text1"/>
                <w:sz w:val="20"/>
              </w:rPr>
              <w:t xml:space="preserve"> will be paid for every pack dispensed</w:t>
            </w:r>
            <w:r w:rsidR="001352B1">
              <w:rPr>
                <w:rFonts w:cs="Arial"/>
                <w:color w:val="000000" w:themeColor="text1"/>
                <w:sz w:val="20"/>
              </w:rPr>
              <w:t>.</w:t>
            </w:r>
          </w:p>
          <w:p w14:paraId="366F788D" w14:textId="450FC8B7" w:rsidR="00CA2D5E" w:rsidRPr="009B2FA2" w:rsidRDefault="00CA2D5E" w:rsidP="007D34DD">
            <w:pPr>
              <w:pStyle w:val="ListParagraph"/>
              <w:numPr>
                <w:ilvl w:val="0"/>
                <w:numId w:val="22"/>
              </w:numPr>
              <w:spacing w:after="120"/>
              <w:ind w:left="714" w:hanging="357"/>
              <w:jc w:val="left"/>
              <w:rPr>
                <w:sz w:val="20"/>
              </w:rPr>
            </w:pPr>
            <w:r w:rsidRPr="00CA2D5E">
              <w:rPr>
                <w:rFonts w:cs="Arial"/>
                <w:color w:val="000000" w:themeColor="text1"/>
                <w:sz w:val="20"/>
              </w:rPr>
              <w:t>An additional fixed payment of £140 will be paid at the end of the financial year to pharmacies who have dispensed between 28 and 227 packs during the year – this will be calculated based on activity loaded to PharmOutcomes by 25 May for the preceding 12 months.</w:t>
            </w:r>
          </w:p>
        </w:tc>
      </w:tr>
    </w:tbl>
    <w:p w14:paraId="1250C3CA" w14:textId="77777777" w:rsidR="00E94A4D" w:rsidRDefault="00E94A4D" w:rsidP="00AD1972">
      <w:pPr>
        <w:pStyle w:val="Part"/>
        <w:rPr>
          <w:sz w:val="20"/>
          <w:szCs w:val="20"/>
          <w:u w:val="single"/>
        </w:rPr>
      </w:pPr>
    </w:p>
    <w:sectPr w:rsidR="00E94A4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6546" w14:textId="77777777" w:rsidR="000C6D70" w:rsidRDefault="000C6D70" w:rsidP="00B1400C">
      <w:r>
        <w:separator/>
      </w:r>
    </w:p>
  </w:endnote>
  <w:endnote w:type="continuationSeparator" w:id="0">
    <w:p w14:paraId="2BFBBEF3" w14:textId="77777777" w:rsidR="000C6D70" w:rsidRDefault="000C6D70" w:rsidP="00B1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250646"/>
      <w:docPartObj>
        <w:docPartGallery w:val="Page Numbers (Bottom of Page)"/>
        <w:docPartUnique/>
      </w:docPartObj>
    </w:sdtPr>
    <w:sdtEndPr>
      <w:rPr>
        <w:noProof/>
      </w:rPr>
    </w:sdtEndPr>
    <w:sdtContent>
      <w:p w14:paraId="6FDDEB03" w14:textId="4A9E0074" w:rsidR="000C6D70" w:rsidRDefault="000C6D70">
        <w:pPr>
          <w:pStyle w:val="Footer"/>
          <w:jc w:val="right"/>
        </w:pPr>
        <w:r>
          <w:fldChar w:fldCharType="begin"/>
        </w:r>
        <w:r>
          <w:instrText xml:space="preserve"> PAGE   \* MERGEFORMAT </w:instrText>
        </w:r>
        <w:r>
          <w:fldChar w:fldCharType="separate"/>
        </w:r>
        <w:r w:rsidR="009575AF">
          <w:rPr>
            <w:noProof/>
          </w:rPr>
          <w:t>4</w:t>
        </w:r>
        <w:r>
          <w:rPr>
            <w:noProof/>
          </w:rPr>
          <w:fldChar w:fldCharType="end"/>
        </w:r>
      </w:p>
    </w:sdtContent>
  </w:sdt>
  <w:p w14:paraId="2F8DB72B" w14:textId="77777777" w:rsidR="000C6D70" w:rsidRDefault="000C6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E73E" w14:textId="77777777" w:rsidR="000C6D70" w:rsidRDefault="000C6D70" w:rsidP="00B1400C">
      <w:r>
        <w:separator/>
      </w:r>
    </w:p>
  </w:footnote>
  <w:footnote w:type="continuationSeparator" w:id="0">
    <w:p w14:paraId="7124C4AE" w14:textId="77777777" w:rsidR="000C6D70" w:rsidRDefault="000C6D70" w:rsidP="00B14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2BC"/>
    <w:multiLevelType w:val="hybridMultilevel"/>
    <w:tmpl w:val="97A2A6A0"/>
    <w:lvl w:ilvl="0" w:tplc="B8BEF26A">
      <w:start w:val="1"/>
      <w:numFmt w:val="bullet"/>
      <w:lvlText w:val=""/>
      <w:lvlJc w:val="left"/>
      <w:pPr>
        <w:ind w:left="720" w:hanging="360"/>
      </w:pPr>
      <w:rPr>
        <w:rFonts w:ascii="Symbol" w:hAnsi="Symbol" w:cs="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8DA429E"/>
    <w:multiLevelType w:val="hybridMultilevel"/>
    <w:tmpl w:val="CC98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32EAE"/>
    <w:multiLevelType w:val="hybridMultilevel"/>
    <w:tmpl w:val="26EA2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F0417"/>
    <w:multiLevelType w:val="hybridMultilevel"/>
    <w:tmpl w:val="2760F4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42117B"/>
    <w:multiLevelType w:val="hybridMultilevel"/>
    <w:tmpl w:val="9C28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066508"/>
    <w:multiLevelType w:val="hybridMultilevel"/>
    <w:tmpl w:val="E8BAB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37672"/>
    <w:multiLevelType w:val="hybridMultilevel"/>
    <w:tmpl w:val="6D328F0C"/>
    <w:lvl w:ilvl="0" w:tplc="08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7336255"/>
    <w:multiLevelType w:val="hybridMultilevel"/>
    <w:tmpl w:val="46FA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20F6D"/>
    <w:multiLevelType w:val="hybridMultilevel"/>
    <w:tmpl w:val="40A09D36"/>
    <w:lvl w:ilvl="0" w:tplc="8EEA4BC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3F347B"/>
    <w:multiLevelType w:val="hybridMultilevel"/>
    <w:tmpl w:val="1AEE7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61A6A"/>
    <w:multiLevelType w:val="hybridMultilevel"/>
    <w:tmpl w:val="EB84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408DC"/>
    <w:multiLevelType w:val="hybridMultilevel"/>
    <w:tmpl w:val="F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326E10"/>
    <w:multiLevelType w:val="hybridMultilevel"/>
    <w:tmpl w:val="4004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96152"/>
    <w:multiLevelType w:val="hybridMultilevel"/>
    <w:tmpl w:val="878C6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5C758F"/>
    <w:multiLevelType w:val="hybridMultilevel"/>
    <w:tmpl w:val="756E8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17004"/>
    <w:multiLevelType w:val="hybridMultilevel"/>
    <w:tmpl w:val="1322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C005CA"/>
    <w:multiLevelType w:val="hybridMultilevel"/>
    <w:tmpl w:val="6FF44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A3D92"/>
    <w:multiLevelType w:val="hybridMultilevel"/>
    <w:tmpl w:val="840A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32E8D"/>
    <w:multiLevelType w:val="multilevel"/>
    <w:tmpl w:val="484A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5D7222"/>
    <w:multiLevelType w:val="hybridMultilevel"/>
    <w:tmpl w:val="D8D85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3632A6"/>
    <w:multiLevelType w:val="hybridMultilevel"/>
    <w:tmpl w:val="770E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BF10BD"/>
    <w:multiLevelType w:val="hybridMultilevel"/>
    <w:tmpl w:val="1988DB9E"/>
    <w:lvl w:ilvl="0" w:tplc="C666F1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764CC"/>
    <w:multiLevelType w:val="hybridMultilevel"/>
    <w:tmpl w:val="921491BC"/>
    <w:lvl w:ilvl="0" w:tplc="4FA6EFAC">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5713D55"/>
    <w:multiLevelType w:val="hybridMultilevel"/>
    <w:tmpl w:val="70A6ED8C"/>
    <w:lvl w:ilvl="0" w:tplc="B88C86A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B305A3"/>
    <w:multiLevelType w:val="hybridMultilevel"/>
    <w:tmpl w:val="D274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24522">
    <w:abstractNumId w:val="4"/>
  </w:num>
  <w:num w:numId="2" w16cid:durableId="1670136170">
    <w:abstractNumId w:val="3"/>
  </w:num>
  <w:num w:numId="3" w16cid:durableId="1514340397">
    <w:abstractNumId w:val="22"/>
  </w:num>
  <w:num w:numId="4" w16cid:durableId="1952011791">
    <w:abstractNumId w:val="17"/>
  </w:num>
  <w:num w:numId="5" w16cid:durableId="716243738">
    <w:abstractNumId w:val="19"/>
  </w:num>
  <w:num w:numId="6" w16cid:durableId="727067621">
    <w:abstractNumId w:val="12"/>
  </w:num>
  <w:num w:numId="7" w16cid:durableId="854264888">
    <w:abstractNumId w:val="1"/>
  </w:num>
  <w:num w:numId="8" w16cid:durableId="1550804644">
    <w:abstractNumId w:val="9"/>
  </w:num>
  <w:num w:numId="9" w16cid:durableId="2112511921">
    <w:abstractNumId w:val="11"/>
  </w:num>
  <w:num w:numId="10" w16cid:durableId="1392999651">
    <w:abstractNumId w:val="24"/>
  </w:num>
  <w:num w:numId="11" w16cid:durableId="1564829974">
    <w:abstractNumId w:val="7"/>
  </w:num>
  <w:num w:numId="12" w16cid:durableId="1720543925">
    <w:abstractNumId w:val="16"/>
  </w:num>
  <w:num w:numId="13" w16cid:durableId="257105479">
    <w:abstractNumId w:val="21"/>
  </w:num>
  <w:num w:numId="14" w16cid:durableId="667172149">
    <w:abstractNumId w:val="5"/>
  </w:num>
  <w:num w:numId="15" w16cid:durableId="1613786337">
    <w:abstractNumId w:val="13"/>
  </w:num>
  <w:num w:numId="16" w16cid:durableId="261692001">
    <w:abstractNumId w:val="18"/>
  </w:num>
  <w:num w:numId="17" w16cid:durableId="1643192028">
    <w:abstractNumId w:val="2"/>
  </w:num>
  <w:num w:numId="18" w16cid:durableId="990914267">
    <w:abstractNumId w:val="14"/>
  </w:num>
  <w:num w:numId="19" w16cid:durableId="123277003">
    <w:abstractNumId w:val="23"/>
  </w:num>
  <w:num w:numId="20" w16cid:durableId="1815102253">
    <w:abstractNumId w:val="10"/>
  </w:num>
  <w:num w:numId="21" w16cid:durableId="1673527945">
    <w:abstractNumId w:val="0"/>
  </w:num>
  <w:num w:numId="22" w16cid:durableId="1264529247">
    <w:abstractNumId w:val="15"/>
  </w:num>
  <w:num w:numId="23" w16cid:durableId="1045526405">
    <w:abstractNumId w:val="20"/>
  </w:num>
  <w:num w:numId="24" w16cid:durableId="1230774583">
    <w:abstractNumId w:val="6"/>
  </w:num>
  <w:num w:numId="25" w16cid:durableId="1362322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A4D"/>
    <w:rsid w:val="00013588"/>
    <w:rsid w:val="000144C7"/>
    <w:rsid w:val="000379BB"/>
    <w:rsid w:val="000651B9"/>
    <w:rsid w:val="00070F5E"/>
    <w:rsid w:val="000928EF"/>
    <w:rsid w:val="000A0DCB"/>
    <w:rsid w:val="000A2E1C"/>
    <w:rsid w:val="000B011F"/>
    <w:rsid w:val="000C6D70"/>
    <w:rsid w:val="000D22F3"/>
    <w:rsid w:val="000D63E8"/>
    <w:rsid w:val="000D6583"/>
    <w:rsid w:val="000E29BA"/>
    <w:rsid w:val="001352B1"/>
    <w:rsid w:val="0014460B"/>
    <w:rsid w:val="00152455"/>
    <w:rsid w:val="001531C6"/>
    <w:rsid w:val="00155394"/>
    <w:rsid w:val="00183E8F"/>
    <w:rsid w:val="001878A4"/>
    <w:rsid w:val="00190615"/>
    <w:rsid w:val="001B3617"/>
    <w:rsid w:val="001C0A38"/>
    <w:rsid w:val="001C1E15"/>
    <w:rsid w:val="001C2001"/>
    <w:rsid w:val="001C3B48"/>
    <w:rsid w:val="001C444B"/>
    <w:rsid w:val="001D5F1B"/>
    <w:rsid w:val="001E234F"/>
    <w:rsid w:val="001F3A80"/>
    <w:rsid w:val="001F568C"/>
    <w:rsid w:val="00202AAA"/>
    <w:rsid w:val="0021141C"/>
    <w:rsid w:val="00231DC9"/>
    <w:rsid w:val="002453F6"/>
    <w:rsid w:val="002478CB"/>
    <w:rsid w:val="002C060B"/>
    <w:rsid w:val="002C2083"/>
    <w:rsid w:val="002D6AD2"/>
    <w:rsid w:val="002E38D8"/>
    <w:rsid w:val="002E3B03"/>
    <w:rsid w:val="002E5974"/>
    <w:rsid w:val="002F0BBF"/>
    <w:rsid w:val="00304232"/>
    <w:rsid w:val="00310AB3"/>
    <w:rsid w:val="00316943"/>
    <w:rsid w:val="003361E3"/>
    <w:rsid w:val="0034713E"/>
    <w:rsid w:val="0034773C"/>
    <w:rsid w:val="00373671"/>
    <w:rsid w:val="003A2DF3"/>
    <w:rsid w:val="003A4B79"/>
    <w:rsid w:val="003C63D7"/>
    <w:rsid w:val="003C6505"/>
    <w:rsid w:val="003D429B"/>
    <w:rsid w:val="00402B33"/>
    <w:rsid w:val="00413064"/>
    <w:rsid w:val="00417E7D"/>
    <w:rsid w:val="00421D1D"/>
    <w:rsid w:val="00486692"/>
    <w:rsid w:val="004A5BAF"/>
    <w:rsid w:val="004B1CDA"/>
    <w:rsid w:val="00500C98"/>
    <w:rsid w:val="00503FD5"/>
    <w:rsid w:val="00512A34"/>
    <w:rsid w:val="005207BE"/>
    <w:rsid w:val="00550820"/>
    <w:rsid w:val="00557010"/>
    <w:rsid w:val="00566EEE"/>
    <w:rsid w:val="005869D0"/>
    <w:rsid w:val="00586A59"/>
    <w:rsid w:val="00591B49"/>
    <w:rsid w:val="005961D4"/>
    <w:rsid w:val="005A078C"/>
    <w:rsid w:val="005D4DB0"/>
    <w:rsid w:val="005E2E0B"/>
    <w:rsid w:val="00604774"/>
    <w:rsid w:val="00606313"/>
    <w:rsid w:val="0061409C"/>
    <w:rsid w:val="006266E4"/>
    <w:rsid w:val="00631B5D"/>
    <w:rsid w:val="00644C0C"/>
    <w:rsid w:val="00690DAC"/>
    <w:rsid w:val="006A283E"/>
    <w:rsid w:val="006A6ECE"/>
    <w:rsid w:val="006C0DD4"/>
    <w:rsid w:val="006D133C"/>
    <w:rsid w:val="006E2E67"/>
    <w:rsid w:val="006E4F75"/>
    <w:rsid w:val="006E64B6"/>
    <w:rsid w:val="006F4BD0"/>
    <w:rsid w:val="006F79E2"/>
    <w:rsid w:val="007010A4"/>
    <w:rsid w:val="0071758B"/>
    <w:rsid w:val="007179C6"/>
    <w:rsid w:val="00720415"/>
    <w:rsid w:val="00767E95"/>
    <w:rsid w:val="00783599"/>
    <w:rsid w:val="0078753C"/>
    <w:rsid w:val="00790E18"/>
    <w:rsid w:val="007914E0"/>
    <w:rsid w:val="007B52ED"/>
    <w:rsid w:val="007B5C1A"/>
    <w:rsid w:val="007B62C5"/>
    <w:rsid w:val="007D34DD"/>
    <w:rsid w:val="007D404F"/>
    <w:rsid w:val="00822EA1"/>
    <w:rsid w:val="00832E9E"/>
    <w:rsid w:val="00836DDE"/>
    <w:rsid w:val="008643FB"/>
    <w:rsid w:val="008B3296"/>
    <w:rsid w:val="008C4D96"/>
    <w:rsid w:val="008D31E5"/>
    <w:rsid w:val="008E5E0B"/>
    <w:rsid w:val="00917508"/>
    <w:rsid w:val="009264B1"/>
    <w:rsid w:val="0095072B"/>
    <w:rsid w:val="009575AF"/>
    <w:rsid w:val="009968A6"/>
    <w:rsid w:val="009A4186"/>
    <w:rsid w:val="009A6FFE"/>
    <w:rsid w:val="009B2FA2"/>
    <w:rsid w:val="009B46BC"/>
    <w:rsid w:val="009C7D09"/>
    <w:rsid w:val="00A579F0"/>
    <w:rsid w:val="00A63150"/>
    <w:rsid w:val="00A67ACF"/>
    <w:rsid w:val="00A9139E"/>
    <w:rsid w:val="00AC1871"/>
    <w:rsid w:val="00AD1972"/>
    <w:rsid w:val="00AE2091"/>
    <w:rsid w:val="00AE5E20"/>
    <w:rsid w:val="00B03E68"/>
    <w:rsid w:val="00B07AEB"/>
    <w:rsid w:val="00B1400C"/>
    <w:rsid w:val="00B35549"/>
    <w:rsid w:val="00B74C47"/>
    <w:rsid w:val="00B80AC9"/>
    <w:rsid w:val="00B80DD1"/>
    <w:rsid w:val="00B90414"/>
    <w:rsid w:val="00B96904"/>
    <w:rsid w:val="00BA1C07"/>
    <w:rsid w:val="00BB74AC"/>
    <w:rsid w:val="00BC13C9"/>
    <w:rsid w:val="00BC6983"/>
    <w:rsid w:val="00BC7CA3"/>
    <w:rsid w:val="00BD6DF5"/>
    <w:rsid w:val="00C10498"/>
    <w:rsid w:val="00C427DF"/>
    <w:rsid w:val="00C5026F"/>
    <w:rsid w:val="00C85B3B"/>
    <w:rsid w:val="00C96812"/>
    <w:rsid w:val="00CA2D5E"/>
    <w:rsid w:val="00CA3770"/>
    <w:rsid w:val="00CC3831"/>
    <w:rsid w:val="00CD26D6"/>
    <w:rsid w:val="00D06B2F"/>
    <w:rsid w:val="00D14760"/>
    <w:rsid w:val="00D40F5B"/>
    <w:rsid w:val="00D44D61"/>
    <w:rsid w:val="00D64CCD"/>
    <w:rsid w:val="00D65E3D"/>
    <w:rsid w:val="00D8706F"/>
    <w:rsid w:val="00DC3634"/>
    <w:rsid w:val="00DE21B9"/>
    <w:rsid w:val="00DE2C31"/>
    <w:rsid w:val="00DF434D"/>
    <w:rsid w:val="00DF5DF0"/>
    <w:rsid w:val="00E140D3"/>
    <w:rsid w:val="00E63841"/>
    <w:rsid w:val="00E94A4D"/>
    <w:rsid w:val="00EB3CDE"/>
    <w:rsid w:val="00EE1890"/>
    <w:rsid w:val="00F07E6D"/>
    <w:rsid w:val="00F32835"/>
    <w:rsid w:val="00F4621F"/>
    <w:rsid w:val="00F56D89"/>
    <w:rsid w:val="00F82B7B"/>
    <w:rsid w:val="00F835A9"/>
    <w:rsid w:val="00F93164"/>
    <w:rsid w:val="00F95953"/>
    <w:rsid w:val="00FB1C1C"/>
    <w:rsid w:val="00FE1E1B"/>
    <w:rsid w:val="00FE7FE1"/>
    <w:rsid w:val="00FF6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D8F0C90"/>
  <w15:docId w15:val="{FDC84148-33C3-4186-838E-E6954E37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A4D"/>
    <w:pPr>
      <w:suppressAutoHyphens/>
      <w:spacing w:after="0" w:line="240" w:lineRule="auto"/>
      <w:jc w:val="both"/>
    </w:pPr>
    <w:rPr>
      <w:rFonts w:ascii="Arial" w:eastAsia="Times New Roman" w:hAnsi="Arial" w:cs="Times New Roman"/>
      <w:sz w:val="24"/>
      <w:szCs w:val="20"/>
    </w:rPr>
  </w:style>
  <w:style w:type="paragraph" w:styleId="Heading1">
    <w:name w:val="heading 1"/>
    <w:basedOn w:val="Normal"/>
    <w:next w:val="Normal"/>
    <w:link w:val="Heading1Char"/>
    <w:qFormat/>
    <w:rsid w:val="00E94A4D"/>
    <w:pPr>
      <w:keepNext/>
      <w:outlineLvl w:val="0"/>
    </w:pPr>
    <w:rPr>
      <w:rFonts w:cs="Arial"/>
      <w:b/>
      <w:bCs/>
      <w:szCs w:val="24"/>
      <w:u w:val="single"/>
    </w:rPr>
  </w:style>
  <w:style w:type="paragraph" w:styleId="Heading2">
    <w:name w:val="heading 2"/>
    <w:basedOn w:val="Normal"/>
    <w:next w:val="Normal"/>
    <w:link w:val="Heading2Char"/>
    <w:uiPriority w:val="9"/>
    <w:semiHidden/>
    <w:unhideWhenUsed/>
    <w:qFormat/>
    <w:rsid w:val="006F4BD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8669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FF67D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4A4D"/>
    <w:rPr>
      <w:rFonts w:ascii="Arial" w:eastAsia="Times New Roman" w:hAnsi="Arial" w:cs="Arial"/>
      <w:b/>
      <w:bCs/>
      <w:sz w:val="24"/>
      <w:szCs w:val="24"/>
      <w:u w:val="single"/>
    </w:rPr>
  </w:style>
  <w:style w:type="paragraph" w:styleId="ListParagraph">
    <w:name w:val="List Paragraph"/>
    <w:basedOn w:val="Normal"/>
    <w:uiPriority w:val="34"/>
    <w:qFormat/>
    <w:rsid w:val="00E94A4D"/>
    <w:pPr>
      <w:ind w:left="720"/>
    </w:pPr>
  </w:style>
  <w:style w:type="paragraph" w:customStyle="1" w:styleId="Part">
    <w:name w:val="Part"/>
    <w:link w:val="PartChar"/>
    <w:rsid w:val="00E94A4D"/>
    <w:pPr>
      <w:widowControl w:val="0"/>
      <w:spacing w:after="0" w:line="240" w:lineRule="auto"/>
    </w:pPr>
    <w:rPr>
      <w:rFonts w:ascii="Arial" w:eastAsia="Times New Roman" w:hAnsi="Arial" w:cs="Times New Roman"/>
      <w:b/>
      <w:szCs w:val="24"/>
      <w:lang w:eastAsia="en-GB"/>
    </w:rPr>
  </w:style>
  <w:style w:type="character" w:customStyle="1" w:styleId="PartChar">
    <w:name w:val="Part Char"/>
    <w:link w:val="Part"/>
    <w:locked/>
    <w:rsid w:val="00E94A4D"/>
    <w:rPr>
      <w:rFonts w:ascii="Arial" w:eastAsia="Times New Roman" w:hAnsi="Arial" w:cs="Times New Roman"/>
      <w:b/>
      <w:szCs w:val="24"/>
      <w:lang w:eastAsia="en-GB"/>
    </w:rPr>
  </w:style>
  <w:style w:type="paragraph" w:styleId="BodyText">
    <w:name w:val="Body Text"/>
    <w:basedOn w:val="Normal"/>
    <w:link w:val="BodyTextChar"/>
    <w:rsid w:val="00E94A4D"/>
    <w:pPr>
      <w:suppressAutoHyphens w:val="0"/>
      <w:jc w:val="left"/>
    </w:pPr>
    <w:rPr>
      <w:rFonts w:eastAsia="MS ??" w:cs="Arial"/>
      <w:sz w:val="22"/>
      <w:szCs w:val="22"/>
    </w:rPr>
  </w:style>
  <w:style w:type="character" w:customStyle="1" w:styleId="BodyTextChar">
    <w:name w:val="Body Text Char"/>
    <w:basedOn w:val="DefaultParagraphFont"/>
    <w:link w:val="BodyText"/>
    <w:rsid w:val="00E94A4D"/>
    <w:rPr>
      <w:rFonts w:ascii="Arial" w:eastAsia="MS ??" w:hAnsi="Arial" w:cs="Arial"/>
    </w:rPr>
  </w:style>
  <w:style w:type="table" w:styleId="TableGrid">
    <w:name w:val="Table Grid"/>
    <w:basedOn w:val="TableNormal"/>
    <w:uiPriority w:val="39"/>
    <w:rsid w:val="00B80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4C47"/>
    <w:rPr>
      <w:color w:val="0563C1" w:themeColor="hyperlink"/>
      <w:u w:val="single"/>
    </w:rPr>
  </w:style>
  <w:style w:type="character" w:customStyle="1" w:styleId="Heading4Char">
    <w:name w:val="Heading 4 Char"/>
    <w:basedOn w:val="DefaultParagraphFont"/>
    <w:link w:val="Heading4"/>
    <w:uiPriority w:val="9"/>
    <w:rsid w:val="00FF67D5"/>
    <w:rPr>
      <w:rFonts w:asciiTheme="majorHAnsi" w:eastAsiaTheme="majorEastAsia" w:hAnsiTheme="majorHAnsi" w:cstheme="majorBidi"/>
      <w:i/>
      <w:iCs/>
      <w:color w:val="2E74B5" w:themeColor="accent1" w:themeShade="BF"/>
      <w:sz w:val="24"/>
      <w:szCs w:val="20"/>
    </w:rPr>
  </w:style>
  <w:style w:type="character" w:customStyle="1" w:styleId="prod-title">
    <w:name w:val="prod-title"/>
    <w:basedOn w:val="DefaultParagraphFont"/>
    <w:rsid w:val="00836DDE"/>
  </w:style>
  <w:style w:type="character" w:styleId="FollowedHyperlink">
    <w:name w:val="FollowedHyperlink"/>
    <w:basedOn w:val="DefaultParagraphFont"/>
    <w:uiPriority w:val="99"/>
    <w:semiHidden/>
    <w:unhideWhenUsed/>
    <w:rsid w:val="00836DDE"/>
    <w:rPr>
      <w:color w:val="954F72" w:themeColor="followedHyperlink"/>
      <w:u w:val="single"/>
    </w:rPr>
  </w:style>
  <w:style w:type="character" w:styleId="Strong">
    <w:name w:val="Strong"/>
    <w:basedOn w:val="DefaultParagraphFont"/>
    <w:uiPriority w:val="22"/>
    <w:qFormat/>
    <w:rsid w:val="0034773C"/>
    <w:rPr>
      <w:b/>
      <w:bCs/>
    </w:rPr>
  </w:style>
  <w:style w:type="character" w:customStyle="1" w:styleId="Heading2Char">
    <w:name w:val="Heading 2 Char"/>
    <w:basedOn w:val="DefaultParagraphFont"/>
    <w:link w:val="Heading2"/>
    <w:uiPriority w:val="9"/>
    <w:semiHidden/>
    <w:rsid w:val="006F4B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86692"/>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unhideWhenUsed/>
    <w:rsid w:val="00D8706F"/>
    <w:rPr>
      <w:sz w:val="16"/>
      <w:szCs w:val="16"/>
    </w:rPr>
  </w:style>
  <w:style w:type="paragraph" w:styleId="CommentText">
    <w:name w:val="annotation text"/>
    <w:basedOn w:val="Normal"/>
    <w:link w:val="CommentTextChar"/>
    <w:unhideWhenUsed/>
    <w:rsid w:val="00D8706F"/>
    <w:rPr>
      <w:sz w:val="20"/>
    </w:rPr>
  </w:style>
  <w:style w:type="character" w:customStyle="1" w:styleId="CommentTextChar">
    <w:name w:val="Comment Text Char"/>
    <w:basedOn w:val="DefaultParagraphFont"/>
    <w:link w:val="CommentText"/>
    <w:rsid w:val="00D8706F"/>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8706F"/>
    <w:rPr>
      <w:b/>
      <w:bCs/>
    </w:rPr>
  </w:style>
  <w:style w:type="character" w:customStyle="1" w:styleId="CommentSubjectChar">
    <w:name w:val="Comment Subject Char"/>
    <w:basedOn w:val="CommentTextChar"/>
    <w:link w:val="CommentSubject"/>
    <w:uiPriority w:val="99"/>
    <w:semiHidden/>
    <w:rsid w:val="00D8706F"/>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87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06F"/>
    <w:rPr>
      <w:rFonts w:ascii="Segoe UI" w:eastAsia="Times New Roman" w:hAnsi="Segoe UI" w:cs="Segoe UI"/>
      <w:sz w:val="18"/>
      <w:szCs w:val="18"/>
    </w:rPr>
  </w:style>
  <w:style w:type="paragraph" w:styleId="Header">
    <w:name w:val="header"/>
    <w:basedOn w:val="Normal"/>
    <w:link w:val="HeaderChar"/>
    <w:uiPriority w:val="99"/>
    <w:unhideWhenUsed/>
    <w:rsid w:val="00B1400C"/>
    <w:pPr>
      <w:tabs>
        <w:tab w:val="center" w:pos="4513"/>
        <w:tab w:val="right" w:pos="9026"/>
      </w:tabs>
    </w:pPr>
  </w:style>
  <w:style w:type="character" w:customStyle="1" w:styleId="HeaderChar">
    <w:name w:val="Header Char"/>
    <w:basedOn w:val="DefaultParagraphFont"/>
    <w:link w:val="Header"/>
    <w:uiPriority w:val="99"/>
    <w:rsid w:val="00B1400C"/>
    <w:rPr>
      <w:rFonts w:ascii="Arial" w:eastAsia="Times New Roman" w:hAnsi="Arial" w:cs="Times New Roman"/>
      <w:sz w:val="24"/>
      <w:szCs w:val="20"/>
    </w:rPr>
  </w:style>
  <w:style w:type="paragraph" w:styleId="Footer">
    <w:name w:val="footer"/>
    <w:basedOn w:val="Normal"/>
    <w:link w:val="FooterChar"/>
    <w:uiPriority w:val="99"/>
    <w:unhideWhenUsed/>
    <w:rsid w:val="00B1400C"/>
    <w:pPr>
      <w:tabs>
        <w:tab w:val="center" w:pos="4513"/>
        <w:tab w:val="right" w:pos="9026"/>
      </w:tabs>
    </w:pPr>
  </w:style>
  <w:style w:type="character" w:customStyle="1" w:styleId="FooterChar">
    <w:name w:val="Footer Char"/>
    <w:basedOn w:val="DefaultParagraphFont"/>
    <w:link w:val="Footer"/>
    <w:uiPriority w:val="99"/>
    <w:rsid w:val="00B1400C"/>
    <w:rPr>
      <w:rFonts w:ascii="Arial" w:eastAsia="Times New Roman" w:hAnsi="Arial" w:cs="Times New Roman"/>
      <w:sz w:val="24"/>
      <w:szCs w:val="20"/>
    </w:rPr>
  </w:style>
  <w:style w:type="paragraph" w:customStyle="1" w:styleId="Default">
    <w:name w:val="Default"/>
    <w:uiPriority w:val="99"/>
    <w:rsid w:val="00B96904"/>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B96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217">
      <w:bodyDiv w:val="1"/>
      <w:marLeft w:val="0"/>
      <w:marRight w:val="0"/>
      <w:marTop w:val="0"/>
      <w:marBottom w:val="0"/>
      <w:divBdr>
        <w:top w:val="none" w:sz="0" w:space="0" w:color="auto"/>
        <w:left w:val="none" w:sz="0" w:space="0" w:color="auto"/>
        <w:bottom w:val="none" w:sz="0" w:space="0" w:color="auto"/>
        <w:right w:val="none" w:sz="0" w:space="0" w:color="auto"/>
      </w:divBdr>
    </w:div>
    <w:div w:id="23142443">
      <w:bodyDiv w:val="1"/>
      <w:marLeft w:val="0"/>
      <w:marRight w:val="0"/>
      <w:marTop w:val="0"/>
      <w:marBottom w:val="0"/>
      <w:divBdr>
        <w:top w:val="none" w:sz="0" w:space="0" w:color="auto"/>
        <w:left w:val="none" w:sz="0" w:space="0" w:color="auto"/>
        <w:bottom w:val="none" w:sz="0" w:space="0" w:color="auto"/>
        <w:right w:val="none" w:sz="0" w:space="0" w:color="auto"/>
      </w:divBdr>
    </w:div>
    <w:div w:id="165245823">
      <w:bodyDiv w:val="1"/>
      <w:marLeft w:val="0"/>
      <w:marRight w:val="0"/>
      <w:marTop w:val="0"/>
      <w:marBottom w:val="0"/>
      <w:divBdr>
        <w:top w:val="none" w:sz="0" w:space="0" w:color="auto"/>
        <w:left w:val="none" w:sz="0" w:space="0" w:color="auto"/>
        <w:bottom w:val="none" w:sz="0" w:space="0" w:color="auto"/>
        <w:right w:val="none" w:sz="0" w:space="0" w:color="auto"/>
      </w:divBdr>
    </w:div>
    <w:div w:id="176505624">
      <w:bodyDiv w:val="1"/>
      <w:marLeft w:val="0"/>
      <w:marRight w:val="0"/>
      <w:marTop w:val="0"/>
      <w:marBottom w:val="0"/>
      <w:divBdr>
        <w:top w:val="none" w:sz="0" w:space="0" w:color="auto"/>
        <w:left w:val="none" w:sz="0" w:space="0" w:color="auto"/>
        <w:bottom w:val="none" w:sz="0" w:space="0" w:color="auto"/>
        <w:right w:val="none" w:sz="0" w:space="0" w:color="auto"/>
      </w:divBdr>
    </w:div>
    <w:div w:id="445849577">
      <w:bodyDiv w:val="1"/>
      <w:marLeft w:val="0"/>
      <w:marRight w:val="0"/>
      <w:marTop w:val="0"/>
      <w:marBottom w:val="0"/>
      <w:divBdr>
        <w:top w:val="none" w:sz="0" w:space="0" w:color="auto"/>
        <w:left w:val="none" w:sz="0" w:space="0" w:color="auto"/>
        <w:bottom w:val="none" w:sz="0" w:space="0" w:color="auto"/>
        <w:right w:val="none" w:sz="0" w:space="0" w:color="auto"/>
      </w:divBdr>
    </w:div>
    <w:div w:id="676077483">
      <w:bodyDiv w:val="1"/>
      <w:marLeft w:val="0"/>
      <w:marRight w:val="0"/>
      <w:marTop w:val="0"/>
      <w:marBottom w:val="0"/>
      <w:divBdr>
        <w:top w:val="none" w:sz="0" w:space="0" w:color="auto"/>
        <w:left w:val="none" w:sz="0" w:space="0" w:color="auto"/>
        <w:bottom w:val="none" w:sz="0" w:space="0" w:color="auto"/>
        <w:right w:val="none" w:sz="0" w:space="0" w:color="auto"/>
      </w:divBdr>
    </w:div>
    <w:div w:id="819855905">
      <w:bodyDiv w:val="1"/>
      <w:marLeft w:val="0"/>
      <w:marRight w:val="0"/>
      <w:marTop w:val="0"/>
      <w:marBottom w:val="0"/>
      <w:divBdr>
        <w:top w:val="none" w:sz="0" w:space="0" w:color="auto"/>
        <w:left w:val="none" w:sz="0" w:space="0" w:color="auto"/>
        <w:bottom w:val="none" w:sz="0" w:space="0" w:color="auto"/>
        <w:right w:val="none" w:sz="0" w:space="0" w:color="auto"/>
      </w:divBdr>
    </w:div>
    <w:div w:id="1145274115">
      <w:bodyDiv w:val="1"/>
      <w:marLeft w:val="0"/>
      <w:marRight w:val="0"/>
      <w:marTop w:val="0"/>
      <w:marBottom w:val="0"/>
      <w:divBdr>
        <w:top w:val="none" w:sz="0" w:space="0" w:color="auto"/>
        <w:left w:val="none" w:sz="0" w:space="0" w:color="auto"/>
        <w:bottom w:val="none" w:sz="0" w:space="0" w:color="auto"/>
        <w:right w:val="none" w:sz="0" w:space="0" w:color="auto"/>
      </w:divBdr>
    </w:div>
    <w:div w:id="1195577851">
      <w:bodyDiv w:val="1"/>
      <w:marLeft w:val="0"/>
      <w:marRight w:val="0"/>
      <w:marTop w:val="0"/>
      <w:marBottom w:val="0"/>
      <w:divBdr>
        <w:top w:val="none" w:sz="0" w:space="0" w:color="auto"/>
        <w:left w:val="none" w:sz="0" w:space="0" w:color="auto"/>
        <w:bottom w:val="none" w:sz="0" w:space="0" w:color="auto"/>
        <w:right w:val="none" w:sz="0" w:space="0" w:color="auto"/>
      </w:divBdr>
    </w:div>
    <w:div w:id="1488472797">
      <w:bodyDiv w:val="1"/>
      <w:marLeft w:val="0"/>
      <w:marRight w:val="0"/>
      <w:marTop w:val="0"/>
      <w:marBottom w:val="0"/>
      <w:divBdr>
        <w:top w:val="none" w:sz="0" w:space="0" w:color="auto"/>
        <w:left w:val="none" w:sz="0" w:space="0" w:color="auto"/>
        <w:bottom w:val="none" w:sz="0" w:space="0" w:color="auto"/>
        <w:right w:val="none" w:sz="0" w:space="0" w:color="auto"/>
      </w:divBdr>
    </w:div>
    <w:div w:id="1548763745">
      <w:bodyDiv w:val="1"/>
      <w:marLeft w:val="0"/>
      <w:marRight w:val="0"/>
      <w:marTop w:val="0"/>
      <w:marBottom w:val="0"/>
      <w:divBdr>
        <w:top w:val="none" w:sz="0" w:space="0" w:color="auto"/>
        <w:left w:val="none" w:sz="0" w:space="0" w:color="auto"/>
        <w:bottom w:val="none" w:sz="0" w:space="0" w:color="auto"/>
        <w:right w:val="none" w:sz="0" w:space="0" w:color="auto"/>
      </w:divBdr>
    </w:div>
    <w:div w:id="21319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dixon@n-someret.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von.communitypharmac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1D669-CC27-43CC-85BE-14C57913C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2176</Words>
  <Characters>12406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Shcherba</dc:creator>
  <cp:keywords/>
  <dc:description/>
  <cp:lastModifiedBy>Fiona Dixon</cp:lastModifiedBy>
  <cp:revision>7</cp:revision>
  <cp:lastPrinted>2019-09-05T14:52:00Z</cp:lastPrinted>
  <dcterms:created xsi:type="dcterms:W3CDTF">2024-04-09T12:22:00Z</dcterms:created>
  <dcterms:modified xsi:type="dcterms:W3CDTF">2024-04-12T10:45:00Z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