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60076" w14:textId="2D78F1F3" w:rsidR="00E94A4D" w:rsidRPr="00F21AB9" w:rsidRDefault="00082F52" w:rsidP="00E94A4D">
      <w:pPr>
        <w:pStyle w:val="BodyText"/>
        <w:jc w:val="center"/>
        <w:rPr>
          <w:b/>
          <w:bCs/>
          <w:sz w:val="24"/>
          <w:szCs w:val="24"/>
        </w:rPr>
      </w:pPr>
      <w:r w:rsidRPr="00F21AB9">
        <w:rPr>
          <w:b/>
          <w:bCs/>
          <w:sz w:val="24"/>
          <w:szCs w:val="24"/>
        </w:rPr>
        <w:t>SCHEDULE A</w:t>
      </w:r>
      <w:r w:rsidR="002A5690" w:rsidRPr="00F21AB9">
        <w:rPr>
          <w:b/>
          <w:bCs/>
          <w:sz w:val="24"/>
          <w:szCs w:val="24"/>
        </w:rPr>
        <w:t xml:space="preserve"> – Service Specification</w:t>
      </w:r>
    </w:p>
    <w:p w14:paraId="11E4BB79" w14:textId="41988788" w:rsidR="00082F52" w:rsidRPr="00F21AB9" w:rsidRDefault="00082F52" w:rsidP="00E94A4D">
      <w:pPr>
        <w:pStyle w:val="BodyText"/>
        <w:jc w:val="center"/>
        <w:rPr>
          <w:b/>
          <w:bCs/>
          <w:sz w:val="24"/>
          <w:szCs w:val="24"/>
        </w:rPr>
      </w:pPr>
    </w:p>
    <w:p w14:paraId="13943BC2" w14:textId="3B4C7E55" w:rsidR="00082F52" w:rsidRPr="00F21AB9" w:rsidRDefault="00082F52" w:rsidP="00E94A4D">
      <w:pPr>
        <w:pStyle w:val="BodyText"/>
        <w:jc w:val="center"/>
        <w:rPr>
          <w:b/>
          <w:bCs/>
          <w:sz w:val="24"/>
          <w:szCs w:val="24"/>
        </w:rPr>
      </w:pPr>
      <w:r w:rsidRPr="00F21AB9">
        <w:rPr>
          <w:b/>
          <w:bCs/>
          <w:sz w:val="24"/>
          <w:szCs w:val="24"/>
        </w:rPr>
        <w:t>PART 1- Pharmacy Sexual Health Services for U</w:t>
      </w:r>
      <w:r w:rsidR="002A5690" w:rsidRPr="00F21AB9">
        <w:rPr>
          <w:b/>
          <w:bCs/>
          <w:sz w:val="24"/>
          <w:szCs w:val="24"/>
        </w:rPr>
        <w:t xml:space="preserve">nder </w:t>
      </w:r>
      <w:r w:rsidRPr="00F21AB9">
        <w:rPr>
          <w:b/>
          <w:bCs/>
          <w:sz w:val="24"/>
          <w:szCs w:val="24"/>
        </w:rPr>
        <w:t>25s</w:t>
      </w:r>
    </w:p>
    <w:p w14:paraId="4B5C70F4" w14:textId="77777777" w:rsidR="00E94A4D" w:rsidRPr="00F21AB9" w:rsidRDefault="00E94A4D" w:rsidP="00E94A4D">
      <w:pPr>
        <w:pStyle w:val="BodyText"/>
        <w:jc w:val="both"/>
        <w:rPr>
          <w:sz w:val="24"/>
          <w:szCs w:val="24"/>
        </w:rPr>
      </w:pPr>
    </w:p>
    <w:p w14:paraId="3466226C" w14:textId="77777777" w:rsidR="00E94A4D" w:rsidRPr="00F21AB9" w:rsidRDefault="00E94A4D" w:rsidP="00E94A4D">
      <w:pPr>
        <w:pStyle w:val="BodyText"/>
        <w:jc w:val="both"/>
        <w:rPr>
          <w:b/>
          <w:bCs/>
          <w:sz w:val="24"/>
          <w:szCs w:val="24"/>
        </w:rPr>
      </w:pPr>
    </w:p>
    <w:tbl>
      <w:tblPr>
        <w:tblW w:w="9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3073"/>
        <w:gridCol w:w="5943"/>
        <w:gridCol w:w="92"/>
      </w:tblGrid>
      <w:tr w:rsidR="006B1D5F" w:rsidRPr="00F21AB9" w14:paraId="1F43B4DF" w14:textId="77777777" w:rsidTr="00F21AB9">
        <w:trPr>
          <w:trHeight w:val="345"/>
        </w:trPr>
        <w:tc>
          <w:tcPr>
            <w:tcW w:w="3073" w:type="dxa"/>
            <w:shd w:val="clear" w:color="auto" w:fill="595959"/>
            <w:vAlign w:val="center"/>
          </w:tcPr>
          <w:p w14:paraId="2D79E859" w14:textId="77777777" w:rsidR="006B1D5F" w:rsidRPr="00F21AB9" w:rsidRDefault="006B1D5F" w:rsidP="006B1D5F">
            <w:pPr>
              <w:pStyle w:val="BodyText"/>
              <w:rPr>
                <w:color w:val="FFFF00"/>
                <w:sz w:val="24"/>
                <w:szCs w:val="24"/>
              </w:rPr>
            </w:pPr>
            <w:r w:rsidRPr="00F21AB9">
              <w:rPr>
                <w:color w:val="FFFF00"/>
                <w:sz w:val="24"/>
                <w:szCs w:val="24"/>
              </w:rPr>
              <w:t>Authority Lead</w:t>
            </w:r>
          </w:p>
        </w:tc>
        <w:tc>
          <w:tcPr>
            <w:tcW w:w="6035" w:type="dxa"/>
            <w:gridSpan w:val="2"/>
            <w:vAlign w:val="center"/>
          </w:tcPr>
          <w:p w14:paraId="2F816453" w14:textId="77777777" w:rsidR="00E933D4" w:rsidRDefault="006B1D5F" w:rsidP="006B1D5F">
            <w:pPr>
              <w:pStyle w:val="BodyText"/>
              <w:rPr>
                <w:b/>
                <w:bCs/>
                <w:sz w:val="24"/>
                <w:szCs w:val="24"/>
              </w:rPr>
            </w:pPr>
            <w:r w:rsidRPr="00F21AB9">
              <w:rPr>
                <w:b/>
                <w:bCs/>
                <w:sz w:val="24"/>
                <w:szCs w:val="24"/>
              </w:rPr>
              <w:t xml:space="preserve">Kate Blakley, </w:t>
            </w:r>
            <w:r w:rsidR="00E933D4">
              <w:rPr>
                <w:b/>
                <w:bCs/>
                <w:sz w:val="24"/>
                <w:szCs w:val="24"/>
              </w:rPr>
              <w:t>Sexual Health Commissioning Manager,</w:t>
            </w:r>
          </w:p>
          <w:p w14:paraId="50C778BB" w14:textId="11F28139" w:rsidR="006B1D5F" w:rsidRPr="00F21AB9" w:rsidRDefault="006B1D5F" w:rsidP="006B1D5F">
            <w:pPr>
              <w:pStyle w:val="BodyText"/>
              <w:rPr>
                <w:b/>
                <w:bCs/>
                <w:sz w:val="24"/>
                <w:szCs w:val="24"/>
              </w:rPr>
            </w:pPr>
            <w:r w:rsidRPr="00F21AB9">
              <w:rPr>
                <w:b/>
                <w:bCs/>
                <w:sz w:val="24"/>
                <w:szCs w:val="24"/>
              </w:rPr>
              <w:t>Public Health, North Somerset Council (NSC)</w:t>
            </w:r>
          </w:p>
          <w:p w14:paraId="5416070E" w14:textId="77777777" w:rsidR="00082F52" w:rsidRPr="00F21AB9" w:rsidRDefault="00082F52" w:rsidP="006B1D5F">
            <w:pPr>
              <w:pStyle w:val="BodyText"/>
              <w:rPr>
                <w:b/>
                <w:bCs/>
                <w:sz w:val="24"/>
                <w:szCs w:val="24"/>
              </w:rPr>
            </w:pPr>
          </w:p>
          <w:p w14:paraId="38D35A80" w14:textId="2D5F0DEB" w:rsidR="00082F52" w:rsidRPr="00F21AB9" w:rsidRDefault="007718EF" w:rsidP="006B1D5F">
            <w:pPr>
              <w:pStyle w:val="BodyText"/>
              <w:rPr>
                <w:b/>
                <w:bCs/>
                <w:sz w:val="24"/>
                <w:szCs w:val="24"/>
              </w:rPr>
            </w:pPr>
            <w:hyperlink r:id="rId8" w:history="1">
              <w:r w:rsidR="00E933D4" w:rsidRPr="00D96939">
                <w:rPr>
                  <w:rStyle w:val="Hyperlink"/>
                  <w:b/>
                  <w:bCs/>
                  <w:sz w:val="24"/>
                  <w:szCs w:val="24"/>
                </w:rPr>
                <w:t>Kate.blakley@n-somerset.gov.uk</w:t>
              </w:r>
            </w:hyperlink>
            <w:r w:rsidR="00E933D4">
              <w:rPr>
                <w:b/>
                <w:bCs/>
                <w:sz w:val="24"/>
                <w:szCs w:val="24"/>
              </w:rPr>
              <w:t xml:space="preserve"> </w:t>
            </w:r>
          </w:p>
        </w:tc>
      </w:tr>
      <w:tr w:rsidR="00E94A4D" w:rsidRPr="00F21AB9" w14:paraId="0D25D39C" w14:textId="77777777" w:rsidTr="007D01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2" w:type="dxa"/>
        </w:trPr>
        <w:tc>
          <w:tcPr>
            <w:tcW w:w="9016" w:type="dxa"/>
            <w:gridSpan w:val="2"/>
            <w:tcBorders>
              <w:top w:val="single" w:sz="4" w:space="0" w:color="999999"/>
              <w:left w:val="single" w:sz="4" w:space="0" w:color="999999"/>
              <w:bottom w:val="single" w:sz="4" w:space="0" w:color="999999"/>
              <w:right w:val="single" w:sz="4" w:space="0" w:color="999999"/>
            </w:tcBorders>
            <w:shd w:val="clear" w:color="auto" w:fill="666666"/>
          </w:tcPr>
          <w:p w14:paraId="76E46A14" w14:textId="77777777" w:rsidR="00E94A4D" w:rsidRPr="00F21AB9" w:rsidRDefault="00E94A4D" w:rsidP="000B011F">
            <w:pPr>
              <w:pStyle w:val="BodyText"/>
              <w:jc w:val="both"/>
              <w:rPr>
                <w:color w:val="FFFF00"/>
                <w:sz w:val="24"/>
                <w:szCs w:val="24"/>
              </w:rPr>
            </w:pPr>
          </w:p>
          <w:p w14:paraId="33C6690B" w14:textId="77777777" w:rsidR="00E94A4D" w:rsidRPr="00F21AB9" w:rsidRDefault="00E94A4D" w:rsidP="000B011F">
            <w:pPr>
              <w:pStyle w:val="BodyText"/>
              <w:jc w:val="both"/>
              <w:rPr>
                <w:color w:val="FFFF00"/>
                <w:sz w:val="24"/>
                <w:szCs w:val="24"/>
              </w:rPr>
            </w:pPr>
            <w:r w:rsidRPr="00F21AB9">
              <w:rPr>
                <w:color w:val="FFFF00"/>
                <w:sz w:val="24"/>
                <w:szCs w:val="24"/>
              </w:rPr>
              <w:t>1.  Population Needs</w:t>
            </w:r>
          </w:p>
          <w:p w14:paraId="5DB89480" w14:textId="77777777" w:rsidR="00E94A4D" w:rsidRPr="00F21AB9" w:rsidRDefault="00E94A4D" w:rsidP="000B011F">
            <w:pPr>
              <w:pStyle w:val="BodyText"/>
              <w:jc w:val="both"/>
              <w:rPr>
                <w:color w:val="FFFF00"/>
                <w:sz w:val="24"/>
                <w:szCs w:val="24"/>
              </w:rPr>
            </w:pPr>
          </w:p>
        </w:tc>
      </w:tr>
      <w:tr w:rsidR="00E94A4D" w:rsidRPr="00F21AB9" w14:paraId="0940834B" w14:textId="77777777" w:rsidTr="00F21A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2" w:type="dxa"/>
          <w:trHeight w:val="1975"/>
        </w:trPr>
        <w:tc>
          <w:tcPr>
            <w:tcW w:w="9016" w:type="dxa"/>
            <w:gridSpan w:val="2"/>
            <w:tcBorders>
              <w:top w:val="single" w:sz="4" w:space="0" w:color="999999"/>
              <w:left w:val="single" w:sz="4" w:space="0" w:color="999999"/>
              <w:bottom w:val="single" w:sz="4" w:space="0" w:color="999999"/>
              <w:right w:val="single" w:sz="4" w:space="0" w:color="999999"/>
            </w:tcBorders>
          </w:tcPr>
          <w:p w14:paraId="7F33CABB" w14:textId="77777777" w:rsidR="00E94A4D" w:rsidRPr="00F21AB9" w:rsidRDefault="00E94A4D" w:rsidP="000B011F">
            <w:pPr>
              <w:pStyle w:val="BodyText"/>
              <w:jc w:val="both"/>
              <w:rPr>
                <w:b/>
                <w:bCs/>
                <w:sz w:val="24"/>
                <w:szCs w:val="24"/>
              </w:rPr>
            </w:pPr>
          </w:p>
          <w:p w14:paraId="00F55795" w14:textId="77777777" w:rsidR="00E94A4D" w:rsidRPr="00F21AB9" w:rsidRDefault="00E94A4D" w:rsidP="000B011F">
            <w:pPr>
              <w:rPr>
                <w:rFonts w:cs="Arial"/>
                <w:b/>
                <w:bCs/>
                <w:color w:val="339966"/>
                <w:szCs w:val="24"/>
              </w:rPr>
            </w:pPr>
            <w:r w:rsidRPr="00F21AB9">
              <w:rPr>
                <w:rFonts w:cs="Arial"/>
                <w:b/>
                <w:bCs/>
                <w:color w:val="339966"/>
                <w:szCs w:val="24"/>
              </w:rPr>
              <w:t>1.1 National/local context and evidence base</w:t>
            </w:r>
          </w:p>
          <w:p w14:paraId="5F2D951E" w14:textId="77777777" w:rsidR="00E94A4D" w:rsidRPr="00F21AB9" w:rsidRDefault="00E94A4D" w:rsidP="000B011F">
            <w:pPr>
              <w:rPr>
                <w:rFonts w:cs="Arial"/>
                <w:b/>
                <w:bCs/>
                <w:szCs w:val="24"/>
              </w:rPr>
            </w:pPr>
          </w:p>
          <w:p w14:paraId="72BE7D42" w14:textId="25D1343A" w:rsidR="006B1D5F" w:rsidRPr="00F21AB9" w:rsidRDefault="006B1D5F" w:rsidP="006B1D5F">
            <w:pPr>
              <w:rPr>
                <w:rFonts w:cs="Arial"/>
                <w:szCs w:val="24"/>
              </w:rPr>
            </w:pPr>
            <w:r w:rsidRPr="00F21AB9">
              <w:rPr>
                <w:rFonts w:cs="Arial"/>
                <w:szCs w:val="24"/>
              </w:rPr>
              <w:t xml:space="preserve">Good sexual health should provide for a state of physical, emotional, mental and social wellbeing in relation to </w:t>
            </w:r>
            <w:proofErr w:type="gramStart"/>
            <w:r w:rsidRPr="00F21AB9">
              <w:rPr>
                <w:rFonts w:cs="Arial"/>
                <w:szCs w:val="24"/>
              </w:rPr>
              <w:t>sexuality;</w:t>
            </w:r>
            <w:proofErr w:type="gramEnd"/>
            <w:r w:rsidRPr="00F21AB9">
              <w:rPr>
                <w:rFonts w:cs="Arial"/>
                <w:szCs w:val="24"/>
              </w:rPr>
              <w:t xml:space="preserve"> not merely the absence of disease. </w:t>
            </w:r>
          </w:p>
          <w:p w14:paraId="52EAE87E" w14:textId="1773CAE1" w:rsidR="00436033" w:rsidRPr="00F21AB9" w:rsidRDefault="00436033" w:rsidP="006B1D5F">
            <w:pPr>
              <w:rPr>
                <w:rFonts w:cs="Arial"/>
                <w:szCs w:val="24"/>
              </w:rPr>
            </w:pPr>
            <w:r w:rsidRPr="00F21AB9">
              <w:rPr>
                <w:rFonts w:cs="Arial"/>
                <w:szCs w:val="24"/>
              </w:rPr>
              <w:t xml:space="preserve">Improving the sexual health of the population remains a public health priority at national, </w:t>
            </w:r>
            <w:proofErr w:type="gramStart"/>
            <w:r w:rsidRPr="00F21AB9">
              <w:rPr>
                <w:rFonts w:cs="Arial"/>
                <w:szCs w:val="24"/>
              </w:rPr>
              <w:t>regional</w:t>
            </w:r>
            <w:proofErr w:type="gramEnd"/>
            <w:r w:rsidRPr="00F21AB9">
              <w:rPr>
                <w:rFonts w:cs="Arial"/>
                <w:szCs w:val="24"/>
              </w:rPr>
              <w:t xml:space="preserve"> and local levels. Sexual health is one of five mandated services that local </w:t>
            </w:r>
            <w:r w:rsidR="00483BEB" w:rsidRPr="00F21AB9">
              <w:rPr>
                <w:rFonts w:cs="Arial"/>
                <w:szCs w:val="24"/>
              </w:rPr>
              <w:t>authorities fund</w:t>
            </w:r>
            <w:r w:rsidRPr="00F21AB9">
              <w:rPr>
                <w:rFonts w:cs="Arial"/>
                <w:szCs w:val="24"/>
              </w:rPr>
              <w:t>.</w:t>
            </w:r>
          </w:p>
          <w:p w14:paraId="41BA5C62" w14:textId="77777777" w:rsidR="00483BEB" w:rsidRPr="00F21AB9" w:rsidRDefault="00483BEB" w:rsidP="00483BEB">
            <w:pPr>
              <w:suppressAutoHyphens w:val="0"/>
              <w:contextualSpacing/>
              <w:rPr>
                <w:rFonts w:cs="Arial"/>
                <w:szCs w:val="24"/>
              </w:rPr>
            </w:pPr>
          </w:p>
          <w:p w14:paraId="7B3838C7" w14:textId="17EEDDA9" w:rsidR="00483BEB" w:rsidRPr="00F21AB9" w:rsidRDefault="00483BEB" w:rsidP="00483BEB">
            <w:pPr>
              <w:suppressAutoHyphens w:val="0"/>
              <w:contextualSpacing/>
              <w:rPr>
                <w:rFonts w:cs="Arial"/>
                <w:szCs w:val="24"/>
              </w:rPr>
            </w:pPr>
            <w:r w:rsidRPr="00F21AB9">
              <w:rPr>
                <w:rFonts w:cs="Arial"/>
                <w:szCs w:val="24"/>
              </w:rPr>
              <w:t>Young people aged 24 and under experience the highest rates of sexually transmitted infections.</w:t>
            </w:r>
          </w:p>
          <w:p w14:paraId="36E7172A" w14:textId="77777777" w:rsidR="00483BEB" w:rsidRPr="00F21AB9" w:rsidRDefault="00483BEB" w:rsidP="00483BEB">
            <w:pPr>
              <w:rPr>
                <w:rFonts w:cs="Arial"/>
                <w:bCs/>
                <w:szCs w:val="24"/>
              </w:rPr>
            </w:pPr>
          </w:p>
          <w:p w14:paraId="077542C7" w14:textId="5D4581CE" w:rsidR="00483BEB" w:rsidRPr="00F21AB9" w:rsidRDefault="006B1D5F" w:rsidP="006B1D5F">
            <w:pPr>
              <w:suppressAutoHyphens w:val="0"/>
              <w:contextualSpacing/>
              <w:rPr>
                <w:rFonts w:cs="Arial"/>
                <w:szCs w:val="24"/>
              </w:rPr>
            </w:pPr>
            <w:r w:rsidRPr="00F21AB9">
              <w:rPr>
                <w:rFonts w:cs="Arial"/>
                <w:szCs w:val="24"/>
              </w:rPr>
              <w:t xml:space="preserve">North Somerset Council </w:t>
            </w:r>
            <w:r w:rsidR="00483BEB" w:rsidRPr="00F21AB9">
              <w:rPr>
                <w:rFonts w:cs="Arial"/>
                <w:szCs w:val="24"/>
              </w:rPr>
              <w:t>local</w:t>
            </w:r>
            <w:r w:rsidRPr="00F21AB9">
              <w:rPr>
                <w:rFonts w:cs="Arial"/>
                <w:szCs w:val="24"/>
              </w:rPr>
              <w:t xml:space="preserve"> priorities for </w:t>
            </w:r>
            <w:r w:rsidR="00483BEB" w:rsidRPr="00F21AB9">
              <w:rPr>
                <w:rFonts w:cs="Arial"/>
                <w:szCs w:val="24"/>
              </w:rPr>
              <w:t>meeting the</w:t>
            </w:r>
            <w:r w:rsidR="001E321A" w:rsidRPr="00F21AB9">
              <w:rPr>
                <w:rFonts w:cs="Arial"/>
                <w:szCs w:val="24"/>
              </w:rPr>
              <w:t xml:space="preserve"> sexual </w:t>
            </w:r>
            <w:r w:rsidR="0024389E" w:rsidRPr="00F21AB9">
              <w:rPr>
                <w:rFonts w:cs="Arial"/>
                <w:szCs w:val="24"/>
              </w:rPr>
              <w:t>health needs</w:t>
            </w:r>
            <w:r w:rsidR="00483BEB" w:rsidRPr="00F21AB9">
              <w:rPr>
                <w:rFonts w:cs="Arial"/>
                <w:szCs w:val="24"/>
              </w:rPr>
              <w:t xml:space="preserve"> of young people </w:t>
            </w:r>
            <w:r w:rsidRPr="00F21AB9">
              <w:rPr>
                <w:rFonts w:cs="Arial"/>
                <w:szCs w:val="24"/>
              </w:rPr>
              <w:t>includ</w:t>
            </w:r>
            <w:r w:rsidR="00483BEB" w:rsidRPr="00F21AB9">
              <w:rPr>
                <w:rFonts w:cs="Arial"/>
                <w:szCs w:val="24"/>
              </w:rPr>
              <w:t>e:</w:t>
            </w:r>
          </w:p>
          <w:p w14:paraId="7C173DF2" w14:textId="7B40B17C" w:rsidR="00483BEB" w:rsidRPr="00F21AB9" w:rsidRDefault="006B1D5F" w:rsidP="00483BEB">
            <w:pPr>
              <w:pStyle w:val="ListParagraph"/>
              <w:numPr>
                <w:ilvl w:val="0"/>
                <w:numId w:val="30"/>
              </w:numPr>
              <w:suppressAutoHyphens w:val="0"/>
              <w:contextualSpacing/>
              <w:rPr>
                <w:rFonts w:cs="Arial"/>
                <w:szCs w:val="24"/>
              </w:rPr>
            </w:pPr>
            <w:r w:rsidRPr="00F21AB9">
              <w:rPr>
                <w:rFonts w:cs="Arial"/>
                <w:szCs w:val="24"/>
              </w:rPr>
              <w:t xml:space="preserve">building knowledge and resilience </w:t>
            </w:r>
          </w:p>
          <w:p w14:paraId="0C515AF6" w14:textId="77777777" w:rsidR="00483BEB" w:rsidRPr="00F21AB9" w:rsidRDefault="006B1D5F" w:rsidP="00483BEB">
            <w:pPr>
              <w:pStyle w:val="ListParagraph"/>
              <w:numPr>
                <w:ilvl w:val="0"/>
                <w:numId w:val="30"/>
              </w:numPr>
              <w:suppressAutoHyphens w:val="0"/>
              <w:contextualSpacing/>
              <w:rPr>
                <w:rFonts w:cs="Arial"/>
                <w:szCs w:val="24"/>
              </w:rPr>
            </w:pPr>
            <w:r w:rsidRPr="00F21AB9">
              <w:rPr>
                <w:rFonts w:cs="Arial"/>
                <w:szCs w:val="24"/>
              </w:rPr>
              <w:t>providing good access to contraception</w:t>
            </w:r>
          </w:p>
          <w:p w14:paraId="4768F4B6" w14:textId="77777777" w:rsidR="00483BEB" w:rsidRPr="00F21AB9" w:rsidRDefault="006B1D5F" w:rsidP="00483BEB">
            <w:pPr>
              <w:pStyle w:val="ListParagraph"/>
              <w:numPr>
                <w:ilvl w:val="0"/>
                <w:numId w:val="30"/>
              </w:numPr>
              <w:suppressAutoHyphens w:val="0"/>
              <w:contextualSpacing/>
              <w:rPr>
                <w:rFonts w:cs="Arial"/>
                <w:szCs w:val="24"/>
              </w:rPr>
            </w:pPr>
            <w:r w:rsidRPr="00F21AB9">
              <w:rPr>
                <w:rFonts w:cs="Arial"/>
                <w:szCs w:val="24"/>
              </w:rPr>
              <w:t>improving the coverage of sexually transmitted infection testing and treatment</w:t>
            </w:r>
          </w:p>
          <w:p w14:paraId="42D01D4E" w14:textId="77777777" w:rsidR="00483BEB" w:rsidRPr="00F21AB9" w:rsidRDefault="006B1D5F" w:rsidP="00483BEB">
            <w:pPr>
              <w:pStyle w:val="ListParagraph"/>
              <w:numPr>
                <w:ilvl w:val="0"/>
                <w:numId w:val="30"/>
              </w:numPr>
              <w:suppressAutoHyphens w:val="0"/>
              <w:contextualSpacing/>
              <w:rPr>
                <w:rFonts w:cs="Arial"/>
                <w:szCs w:val="24"/>
              </w:rPr>
            </w:pPr>
            <w:r w:rsidRPr="00F21AB9">
              <w:rPr>
                <w:rFonts w:cs="Arial"/>
                <w:szCs w:val="24"/>
              </w:rPr>
              <w:t>developing specialist sexual health services such as young people’s sexual health and teenage pregnancy services.</w:t>
            </w:r>
          </w:p>
          <w:p w14:paraId="18A67BA8" w14:textId="77777777" w:rsidR="00483BEB" w:rsidRPr="00F21AB9" w:rsidRDefault="00483BEB" w:rsidP="00483BEB">
            <w:pPr>
              <w:suppressAutoHyphens w:val="0"/>
              <w:contextualSpacing/>
              <w:rPr>
                <w:rFonts w:cs="Arial"/>
                <w:szCs w:val="24"/>
              </w:rPr>
            </w:pPr>
          </w:p>
          <w:p w14:paraId="5A088B87" w14:textId="77777777" w:rsidR="0014460B" w:rsidRPr="00F21AB9" w:rsidRDefault="00844D06" w:rsidP="000B011F">
            <w:pPr>
              <w:rPr>
                <w:rFonts w:cs="Arial"/>
                <w:szCs w:val="24"/>
              </w:rPr>
            </w:pPr>
            <w:r w:rsidRPr="00F21AB9">
              <w:rPr>
                <w:rFonts w:cs="Arial"/>
                <w:szCs w:val="24"/>
              </w:rPr>
              <w:t>Evidence base:</w:t>
            </w:r>
          </w:p>
          <w:p w14:paraId="0B34BA23" w14:textId="37DD6E51" w:rsidR="001E321A" w:rsidRPr="00F21AB9" w:rsidRDefault="001E321A" w:rsidP="000B011F">
            <w:pPr>
              <w:rPr>
                <w:rFonts w:cs="Arial"/>
                <w:szCs w:val="24"/>
              </w:rPr>
            </w:pPr>
            <w:r w:rsidRPr="00F21AB9">
              <w:rPr>
                <w:rFonts w:cs="Arial"/>
                <w:szCs w:val="24"/>
              </w:rPr>
              <w:t>I</w:t>
            </w:r>
            <w:r w:rsidR="00844D06" w:rsidRPr="00F21AB9">
              <w:rPr>
                <w:rFonts w:cs="Arial"/>
                <w:szCs w:val="24"/>
              </w:rPr>
              <w:t>nvesting in sexual health services can deliver cost savings for the NHS</w:t>
            </w:r>
            <w:r w:rsidR="00B40357">
              <w:rPr>
                <w:rFonts w:cs="Arial"/>
                <w:szCs w:val="24"/>
              </w:rPr>
              <w:t xml:space="preserve"> and local authority services such as social care and education </w:t>
            </w:r>
            <w:proofErr w:type="spellStart"/>
            <w:r w:rsidR="00B40357">
              <w:rPr>
                <w:rFonts w:cs="Arial"/>
                <w:szCs w:val="24"/>
              </w:rPr>
              <w:t>eg</w:t>
            </w:r>
            <w:proofErr w:type="spellEnd"/>
            <w:r w:rsidR="00844D06" w:rsidRPr="00F21AB9">
              <w:rPr>
                <w:rFonts w:cs="Arial"/>
                <w:szCs w:val="24"/>
              </w:rPr>
              <w:t xml:space="preserve"> through preventing unintended conceptions (and the costs associated with maternity and abortion services) and reducing the incidence of sexually transmitted infections including HIV.</w:t>
            </w:r>
            <w:r w:rsidR="00E31A68" w:rsidRPr="00F21AB9">
              <w:rPr>
                <w:rFonts w:cs="Arial"/>
                <w:szCs w:val="24"/>
              </w:rPr>
              <w:t xml:space="preserve"> </w:t>
            </w:r>
          </w:p>
          <w:p w14:paraId="18011736" w14:textId="77777777" w:rsidR="001E321A" w:rsidRPr="00F21AB9" w:rsidRDefault="001E321A" w:rsidP="000B011F">
            <w:pPr>
              <w:rPr>
                <w:rFonts w:cs="Arial"/>
                <w:szCs w:val="24"/>
              </w:rPr>
            </w:pPr>
          </w:p>
          <w:p w14:paraId="5F044A97" w14:textId="77777777" w:rsidR="00D14760" w:rsidRDefault="004264F7" w:rsidP="007D015B">
            <w:pPr>
              <w:rPr>
                <w:rFonts w:cs="Arial"/>
                <w:szCs w:val="24"/>
              </w:rPr>
            </w:pPr>
            <w:r w:rsidRPr="004264F7">
              <w:rPr>
                <w:rFonts w:cs="Arial"/>
                <w:szCs w:val="24"/>
              </w:rPr>
              <w:t>Community pharmacies are required to provide opportunistic sexual health advice as part of their essential services. This includes supporting Public Health campaigns, signposting patients to other specialist contraception and sexual health services and support for self-care. The purpose of this service specification is to build on this essential service provision</w:t>
            </w:r>
            <w:r>
              <w:rPr>
                <w:rFonts w:cs="Arial"/>
                <w:szCs w:val="24"/>
              </w:rPr>
              <w:t>.</w:t>
            </w:r>
          </w:p>
          <w:p w14:paraId="5FA99EDE" w14:textId="204309C9" w:rsidR="004264F7" w:rsidRPr="00F21AB9" w:rsidRDefault="004264F7" w:rsidP="007D015B">
            <w:pPr>
              <w:rPr>
                <w:rFonts w:cs="Arial"/>
                <w:i/>
                <w:szCs w:val="24"/>
              </w:rPr>
            </w:pPr>
          </w:p>
        </w:tc>
      </w:tr>
      <w:tr w:rsidR="00E94A4D" w:rsidRPr="00F21AB9" w14:paraId="3F614DD8" w14:textId="77777777" w:rsidTr="007D01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2" w:type="dxa"/>
        </w:trPr>
        <w:tc>
          <w:tcPr>
            <w:tcW w:w="9016" w:type="dxa"/>
            <w:gridSpan w:val="2"/>
            <w:tcBorders>
              <w:top w:val="single" w:sz="4" w:space="0" w:color="999999"/>
              <w:left w:val="single" w:sz="4" w:space="0" w:color="999999"/>
              <w:bottom w:val="single" w:sz="4" w:space="0" w:color="999999"/>
              <w:right w:val="single" w:sz="4" w:space="0" w:color="999999"/>
            </w:tcBorders>
            <w:shd w:val="clear" w:color="auto" w:fill="666666"/>
          </w:tcPr>
          <w:p w14:paraId="0AF98328" w14:textId="77777777" w:rsidR="00E94A4D" w:rsidRPr="00F21AB9" w:rsidRDefault="00E94A4D" w:rsidP="000B011F">
            <w:pPr>
              <w:pStyle w:val="BodyText"/>
              <w:jc w:val="both"/>
              <w:rPr>
                <w:color w:val="FFFFFF"/>
                <w:sz w:val="24"/>
                <w:szCs w:val="24"/>
                <w:u w:val="single"/>
              </w:rPr>
            </w:pPr>
          </w:p>
          <w:p w14:paraId="21293DC5" w14:textId="77777777" w:rsidR="00E94A4D" w:rsidRPr="00F21AB9" w:rsidRDefault="00310AB3" w:rsidP="000B011F">
            <w:pPr>
              <w:pStyle w:val="BodyText"/>
              <w:jc w:val="both"/>
              <w:rPr>
                <w:color w:val="FF9900"/>
                <w:sz w:val="24"/>
                <w:szCs w:val="24"/>
              </w:rPr>
            </w:pPr>
            <w:r w:rsidRPr="00F21AB9">
              <w:rPr>
                <w:color w:val="FFFF00"/>
                <w:sz w:val="24"/>
                <w:szCs w:val="24"/>
              </w:rPr>
              <w:t>2</w:t>
            </w:r>
            <w:r w:rsidR="00E94A4D" w:rsidRPr="00F21AB9">
              <w:rPr>
                <w:color w:val="FFFF00"/>
                <w:sz w:val="24"/>
                <w:szCs w:val="24"/>
              </w:rPr>
              <w:t>. Scope</w:t>
            </w:r>
            <w:r w:rsidR="00E94A4D" w:rsidRPr="00F21AB9" w:rsidDel="00090017">
              <w:rPr>
                <w:color w:val="FFFF00"/>
                <w:sz w:val="24"/>
                <w:szCs w:val="24"/>
              </w:rPr>
              <w:t xml:space="preserve"> </w:t>
            </w:r>
          </w:p>
          <w:p w14:paraId="463376CC" w14:textId="77777777" w:rsidR="00E94A4D" w:rsidRPr="00F21AB9" w:rsidRDefault="00E94A4D" w:rsidP="000B011F">
            <w:pPr>
              <w:pStyle w:val="BodyText"/>
              <w:jc w:val="both"/>
              <w:rPr>
                <w:color w:val="FFFFFF"/>
                <w:sz w:val="24"/>
                <w:szCs w:val="24"/>
                <w:u w:val="single"/>
              </w:rPr>
            </w:pPr>
          </w:p>
        </w:tc>
      </w:tr>
      <w:tr w:rsidR="00E94A4D" w:rsidRPr="00F21AB9" w14:paraId="0B130D07" w14:textId="77777777" w:rsidTr="00F21A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2" w:type="dxa"/>
          <w:trHeight w:val="11047"/>
        </w:trPr>
        <w:tc>
          <w:tcPr>
            <w:tcW w:w="9016" w:type="dxa"/>
            <w:gridSpan w:val="2"/>
            <w:tcBorders>
              <w:top w:val="single" w:sz="4" w:space="0" w:color="999999"/>
              <w:left w:val="single" w:sz="4" w:space="0" w:color="999999"/>
              <w:bottom w:val="single" w:sz="4" w:space="0" w:color="999999"/>
              <w:right w:val="single" w:sz="4" w:space="0" w:color="999999"/>
            </w:tcBorders>
          </w:tcPr>
          <w:p w14:paraId="3E6A85FB" w14:textId="77777777" w:rsidR="00E94A4D" w:rsidRPr="00F21AB9" w:rsidRDefault="00310AB3" w:rsidP="000B011F">
            <w:pPr>
              <w:rPr>
                <w:rFonts w:cs="Arial"/>
                <w:b/>
                <w:bCs/>
                <w:color w:val="339966"/>
                <w:szCs w:val="24"/>
              </w:rPr>
            </w:pPr>
            <w:r w:rsidRPr="00F21AB9">
              <w:rPr>
                <w:rFonts w:cs="Arial"/>
                <w:b/>
                <w:bCs/>
                <w:color w:val="339966"/>
                <w:szCs w:val="24"/>
              </w:rPr>
              <w:lastRenderedPageBreak/>
              <w:t>2</w:t>
            </w:r>
            <w:r w:rsidR="00E94A4D" w:rsidRPr="00F21AB9">
              <w:rPr>
                <w:rFonts w:cs="Arial"/>
                <w:b/>
                <w:bCs/>
                <w:color w:val="339966"/>
                <w:szCs w:val="24"/>
              </w:rPr>
              <w:t xml:space="preserve">.1 Aims and objectives of </w:t>
            </w:r>
            <w:proofErr w:type="gramStart"/>
            <w:r w:rsidR="00E94A4D" w:rsidRPr="00F21AB9">
              <w:rPr>
                <w:rFonts w:cs="Arial"/>
                <w:b/>
                <w:bCs/>
                <w:color w:val="339966"/>
                <w:szCs w:val="24"/>
              </w:rPr>
              <w:t>service</w:t>
            </w:r>
            <w:proofErr w:type="gramEnd"/>
          </w:p>
          <w:p w14:paraId="17A2CFE5" w14:textId="77777777" w:rsidR="00790E18" w:rsidRPr="00F21AB9" w:rsidRDefault="00790E18" w:rsidP="0014460B">
            <w:pPr>
              <w:rPr>
                <w:rFonts w:cs="Arial"/>
                <w:bCs/>
                <w:szCs w:val="24"/>
              </w:rPr>
            </w:pPr>
          </w:p>
          <w:p w14:paraId="77DEB901" w14:textId="5F40D50E" w:rsidR="001A76F6" w:rsidRPr="00F21AB9" w:rsidRDefault="00CF58AE" w:rsidP="00CF58AE">
            <w:pPr>
              <w:rPr>
                <w:rFonts w:cs="Arial"/>
                <w:bCs/>
                <w:szCs w:val="24"/>
              </w:rPr>
            </w:pPr>
            <w:r w:rsidRPr="00F21AB9">
              <w:rPr>
                <w:rFonts w:cs="Arial"/>
                <w:bCs/>
                <w:szCs w:val="24"/>
              </w:rPr>
              <w:t xml:space="preserve">The overall aim is to improve the sexual health of young people by providing confidential, </w:t>
            </w:r>
            <w:proofErr w:type="gramStart"/>
            <w:r w:rsidRPr="00F21AB9">
              <w:rPr>
                <w:rFonts w:cs="Arial"/>
                <w:bCs/>
                <w:szCs w:val="24"/>
              </w:rPr>
              <w:t>non-judgemental</w:t>
            </w:r>
            <w:proofErr w:type="gramEnd"/>
            <w:r w:rsidRPr="00F21AB9">
              <w:rPr>
                <w:rFonts w:cs="Arial"/>
                <w:bCs/>
                <w:szCs w:val="24"/>
              </w:rPr>
              <w:t xml:space="preserve"> and accessible contraception and sexual health services</w:t>
            </w:r>
            <w:r w:rsidR="00500D95" w:rsidRPr="00F21AB9">
              <w:rPr>
                <w:rFonts w:cs="Arial"/>
                <w:bCs/>
                <w:szCs w:val="24"/>
              </w:rPr>
              <w:t>.</w:t>
            </w:r>
            <w:r w:rsidR="00A53A56" w:rsidRPr="00F21AB9">
              <w:rPr>
                <w:rFonts w:cs="Arial"/>
                <w:bCs/>
                <w:szCs w:val="24"/>
              </w:rPr>
              <w:t xml:space="preserve"> </w:t>
            </w:r>
            <w:r w:rsidR="00502ABB">
              <w:rPr>
                <w:rFonts w:cs="Arial"/>
                <w:bCs/>
                <w:szCs w:val="24"/>
              </w:rPr>
              <w:t>All safeguarding protocols must be adhered to (e.g. Fraser Guidelines, Bichard Checklist).</w:t>
            </w:r>
          </w:p>
          <w:p w14:paraId="4778CF5E" w14:textId="77777777" w:rsidR="004C381E" w:rsidRPr="00F21AB9" w:rsidRDefault="004C381E" w:rsidP="000B011F">
            <w:pPr>
              <w:rPr>
                <w:rFonts w:cs="Arial"/>
                <w:b/>
                <w:bCs/>
                <w:color w:val="339966"/>
                <w:szCs w:val="24"/>
              </w:rPr>
            </w:pPr>
          </w:p>
          <w:p w14:paraId="6BDE410C" w14:textId="4CB0A953" w:rsidR="00E94A4D" w:rsidRPr="00F21AB9" w:rsidRDefault="00310AB3" w:rsidP="000B011F">
            <w:pPr>
              <w:rPr>
                <w:rFonts w:cs="Arial"/>
                <w:b/>
                <w:bCs/>
                <w:color w:val="339966"/>
                <w:szCs w:val="24"/>
              </w:rPr>
            </w:pPr>
            <w:r w:rsidRPr="00F21AB9">
              <w:rPr>
                <w:rFonts w:cs="Arial"/>
                <w:b/>
                <w:bCs/>
                <w:color w:val="339966"/>
                <w:szCs w:val="24"/>
              </w:rPr>
              <w:t>2</w:t>
            </w:r>
            <w:r w:rsidR="00E94A4D" w:rsidRPr="00F21AB9">
              <w:rPr>
                <w:rFonts w:cs="Arial"/>
                <w:b/>
                <w:bCs/>
                <w:color w:val="339966"/>
                <w:szCs w:val="24"/>
              </w:rPr>
              <w:t>.2 Service description/pathway</w:t>
            </w:r>
          </w:p>
          <w:p w14:paraId="48725CF9" w14:textId="77777777" w:rsidR="007D404F" w:rsidRPr="00F21AB9" w:rsidRDefault="007D404F" w:rsidP="000B011F">
            <w:pPr>
              <w:rPr>
                <w:rFonts w:cs="Arial"/>
                <w:b/>
                <w:bCs/>
                <w:color w:val="339966"/>
                <w:szCs w:val="24"/>
              </w:rPr>
            </w:pPr>
          </w:p>
          <w:p w14:paraId="4D6691D7" w14:textId="155101D3" w:rsidR="006306E5" w:rsidRPr="00F21AB9" w:rsidRDefault="006D579D" w:rsidP="00DD1092">
            <w:pPr>
              <w:rPr>
                <w:rFonts w:cs="Arial"/>
                <w:bCs/>
                <w:szCs w:val="24"/>
              </w:rPr>
            </w:pPr>
            <w:r w:rsidRPr="00F21AB9">
              <w:rPr>
                <w:rFonts w:cs="Arial"/>
                <w:szCs w:val="24"/>
              </w:rPr>
              <w:t>The community pharmacy</w:t>
            </w:r>
            <w:r w:rsidR="00C047F2" w:rsidRPr="00F21AB9">
              <w:rPr>
                <w:rFonts w:cs="Arial"/>
                <w:szCs w:val="24"/>
              </w:rPr>
              <w:t xml:space="preserve"> will provide </w:t>
            </w:r>
            <w:r w:rsidR="00261C09" w:rsidRPr="00F21AB9">
              <w:rPr>
                <w:rFonts w:cs="Arial"/>
                <w:szCs w:val="24"/>
              </w:rPr>
              <w:t>in</w:t>
            </w:r>
            <w:r w:rsidR="00BD5504" w:rsidRPr="00F21AB9">
              <w:rPr>
                <w:rFonts w:cs="Arial"/>
                <w:bCs/>
                <w:szCs w:val="24"/>
              </w:rPr>
              <w:t>formation, advice and guidance about contraception, sexually transmitted infections, and related reproductive and sexual health topics, to support young people to make informed decisions and to safeguard their sexual health.</w:t>
            </w:r>
            <w:r w:rsidR="00261C09" w:rsidRPr="00F21AB9">
              <w:rPr>
                <w:rFonts w:cs="Arial"/>
                <w:bCs/>
                <w:szCs w:val="24"/>
              </w:rPr>
              <w:t xml:space="preserve"> </w:t>
            </w:r>
          </w:p>
          <w:p w14:paraId="48325E67" w14:textId="72F5CCCE" w:rsidR="00C047F2" w:rsidRPr="00F21AB9" w:rsidRDefault="00DD1092" w:rsidP="00DD1092">
            <w:pPr>
              <w:rPr>
                <w:rFonts w:cs="Arial"/>
                <w:bCs/>
                <w:szCs w:val="24"/>
              </w:rPr>
            </w:pPr>
            <w:r w:rsidRPr="00F21AB9">
              <w:rPr>
                <w:rFonts w:cs="Arial"/>
                <w:bCs/>
                <w:szCs w:val="24"/>
              </w:rPr>
              <w:t>This includes:</w:t>
            </w:r>
          </w:p>
          <w:p w14:paraId="5A4D7186" w14:textId="7AFF564E" w:rsidR="004C381E" w:rsidRPr="00F21AB9" w:rsidRDefault="00DD1092" w:rsidP="00FF4858">
            <w:pPr>
              <w:pStyle w:val="BodyText"/>
              <w:numPr>
                <w:ilvl w:val="0"/>
                <w:numId w:val="21"/>
              </w:numPr>
              <w:rPr>
                <w:rFonts w:eastAsia="Times New Roman"/>
                <w:bCs/>
                <w:sz w:val="24"/>
                <w:szCs w:val="24"/>
              </w:rPr>
            </w:pPr>
            <w:r w:rsidRPr="00F21AB9">
              <w:rPr>
                <w:rFonts w:eastAsia="Times New Roman"/>
                <w:bCs/>
                <w:sz w:val="24"/>
                <w:szCs w:val="24"/>
              </w:rPr>
              <w:t xml:space="preserve">The supply of free Emergency Hormone Contraception (EHC) to patients aged 13-24 where there is a clinical need under </w:t>
            </w:r>
            <w:r w:rsidR="004C381E" w:rsidRPr="00F21AB9">
              <w:rPr>
                <w:rFonts w:eastAsia="Times New Roman"/>
                <w:bCs/>
                <w:sz w:val="24"/>
                <w:szCs w:val="24"/>
              </w:rPr>
              <w:t xml:space="preserve">the current </w:t>
            </w:r>
            <w:r w:rsidRPr="00F21AB9">
              <w:rPr>
                <w:rFonts w:eastAsia="Times New Roman"/>
                <w:bCs/>
                <w:sz w:val="24"/>
                <w:szCs w:val="24"/>
              </w:rPr>
              <w:t>B</w:t>
            </w:r>
            <w:r w:rsidR="004C381E" w:rsidRPr="00F21AB9">
              <w:rPr>
                <w:rFonts w:eastAsia="Times New Roman"/>
                <w:bCs/>
                <w:sz w:val="24"/>
                <w:szCs w:val="24"/>
              </w:rPr>
              <w:t xml:space="preserve">ristol </w:t>
            </w:r>
            <w:r w:rsidRPr="00F21AB9">
              <w:rPr>
                <w:rFonts w:eastAsia="Times New Roman"/>
                <w:bCs/>
                <w:sz w:val="24"/>
                <w:szCs w:val="24"/>
              </w:rPr>
              <w:t>N</w:t>
            </w:r>
            <w:r w:rsidR="004C381E" w:rsidRPr="00F21AB9">
              <w:rPr>
                <w:rFonts w:eastAsia="Times New Roman"/>
                <w:bCs/>
                <w:sz w:val="24"/>
                <w:szCs w:val="24"/>
              </w:rPr>
              <w:t xml:space="preserve">orth </w:t>
            </w:r>
            <w:r w:rsidRPr="00F21AB9">
              <w:rPr>
                <w:rFonts w:eastAsia="Times New Roman"/>
                <w:bCs/>
                <w:sz w:val="24"/>
                <w:szCs w:val="24"/>
              </w:rPr>
              <w:t>S</w:t>
            </w:r>
            <w:r w:rsidR="004C381E" w:rsidRPr="00F21AB9">
              <w:rPr>
                <w:rFonts w:eastAsia="Times New Roman"/>
                <w:bCs/>
                <w:sz w:val="24"/>
                <w:szCs w:val="24"/>
              </w:rPr>
              <w:t xml:space="preserve">omerset, </w:t>
            </w:r>
            <w:r w:rsidRPr="00F21AB9">
              <w:rPr>
                <w:rFonts w:eastAsia="Times New Roman"/>
                <w:bCs/>
                <w:sz w:val="24"/>
                <w:szCs w:val="24"/>
              </w:rPr>
              <w:t>S</w:t>
            </w:r>
            <w:r w:rsidR="004C381E" w:rsidRPr="00F21AB9">
              <w:rPr>
                <w:rFonts w:eastAsia="Times New Roman"/>
                <w:bCs/>
                <w:sz w:val="24"/>
                <w:szCs w:val="24"/>
              </w:rPr>
              <w:t xml:space="preserve">outh </w:t>
            </w:r>
            <w:r w:rsidRPr="00F21AB9">
              <w:rPr>
                <w:rFonts w:eastAsia="Times New Roman"/>
                <w:bCs/>
                <w:sz w:val="24"/>
                <w:szCs w:val="24"/>
              </w:rPr>
              <w:t>G</w:t>
            </w:r>
            <w:r w:rsidR="004C381E" w:rsidRPr="00F21AB9">
              <w:rPr>
                <w:rFonts w:eastAsia="Times New Roman"/>
                <w:bCs/>
                <w:sz w:val="24"/>
                <w:szCs w:val="24"/>
              </w:rPr>
              <w:t>loucestershire (BNSSG)</w:t>
            </w:r>
            <w:r w:rsidRPr="00F21AB9">
              <w:rPr>
                <w:rFonts w:eastAsia="Times New Roman"/>
                <w:bCs/>
                <w:sz w:val="24"/>
                <w:szCs w:val="24"/>
              </w:rPr>
              <w:t xml:space="preserve"> P</w:t>
            </w:r>
            <w:r w:rsidR="004C381E" w:rsidRPr="00F21AB9">
              <w:rPr>
                <w:rFonts w:eastAsia="Times New Roman"/>
                <w:bCs/>
                <w:sz w:val="24"/>
                <w:szCs w:val="24"/>
              </w:rPr>
              <w:t xml:space="preserve">atient </w:t>
            </w:r>
            <w:r w:rsidRPr="00F21AB9">
              <w:rPr>
                <w:rFonts w:eastAsia="Times New Roman"/>
                <w:bCs/>
                <w:sz w:val="24"/>
                <w:szCs w:val="24"/>
              </w:rPr>
              <w:t>G</w:t>
            </w:r>
            <w:r w:rsidR="004C381E" w:rsidRPr="00F21AB9">
              <w:rPr>
                <w:rFonts w:eastAsia="Times New Roman"/>
                <w:bCs/>
                <w:sz w:val="24"/>
                <w:szCs w:val="24"/>
              </w:rPr>
              <w:t xml:space="preserve">roup </w:t>
            </w:r>
            <w:r w:rsidRPr="00F21AB9">
              <w:rPr>
                <w:rFonts w:eastAsia="Times New Roman"/>
                <w:bCs/>
                <w:sz w:val="24"/>
                <w:szCs w:val="24"/>
              </w:rPr>
              <w:t>D</w:t>
            </w:r>
            <w:r w:rsidR="004C381E" w:rsidRPr="00F21AB9">
              <w:rPr>
                <w:rFonts w:eastAsia="Times New Roman"/>
                <w:bCs/>
                <w:sz w:val="24"/>
                <w:szCs w:val="24"/>
              </w:rPr>
              <w:t>irection (PGD)</w:t>
            </w:r>
            <w:r w:rsidRPr="00F21AB9">
              <w:rPr>
                <w:rFonts w:eastAsia="Times New Roman"/>
                <w:bCs/>
                <w:sz w:val="24"/>
                <w:szCs w:val="24"/>
              </w:rPr>
              <w:t xml:space="preserve"> inclusion criteria</w:t>
            </w:r>
            <w:r w:rsidR="004C381E" w:rsidRPr="00F21AB9">
              <w:rPr>
                <w:rFonts w:eastAsia="Times New Roman"/>
                <w:bCs/>
                <w:sz w:val="24"/>
                <w:szCs w:val="24"/>
              </w:rPr>
              <w:t>.</w:t>
            </w:r>
          </w:p>
          <w:p w14:paraId="0A5C4B99" w14:textId="34082614" w:rsidR="00DD1092" w:rsidRPr="00F21AB9" w:rsidRDefault="00DD1092" w:rsidP="00FF4858">
            <w:pPr>
              <w:pStyle w:val="BodyText"/>
              <w:numPr>
                <w:ilvl w:val="0"/>
                <w:numId w:val="21"/>
              </w:numPr>
              <w:rPr>
                <w:rFonts w:eastAsia="Times New Roman"/>
                <w:bCs/>
                <w:sz w:val="24"/>
                <w:szCs w:val="24"/>
              </w:rPr>
            </w:pPr>
            <w:r w:rsidRPr="00F21AB9">
              <w:rPr>
                <w:rFonts w:eastAsia="Times New Roman"/>
                <w:bCs/>
                <w:sz w:val="24"/>
                <w:szCs w:val="24"/>
              </w:rPr>
              <w:t xml:space="preserve">Treating patients and partners for free, following a positive screen result from Unity Chlamydia Screening Office, under </w:t>
            </w:r>
            <w:r w:rsidR="004C381E" w:rsidRPr="00F21AB9">
              <w:rPr>
                <w:rFonts w:eastAsia="Times New Roman"/>
                <w:bCs/>
                <w:sz w:val="24"/>
                <w:szCs w:val="24"/>
              </w:rPr>
              <w:t xml:space="preserve">the current </w:t>
            </w:r>
            <w:r w:rsidRPr="00F21AB9">
              <w:rPr>
                <w:rFonts w:eastAsia="Times New Roman"/>
                <w:bCs/>
                <w:sz w:val="24"/>
                <w:szCs w:val="24"/>
              </w:rPr>
              <w:t>BNSSG PGD inclusion criteria</w:t>
            </w:r>
            <w:r w:rsidR="004C381E" w:rsidRPr="00F21AB9">
              <w:rPr>
                <w:rFonts w:eastAsia="Times New Roman"/>
                <w:bCs/>
                <w:sz w:val="24"/>
                <w:szCs w:val="24"/>
              </w:rPr>
              <w:t>.</w:t>
            </w:r>
          </w:p>
          <w:p w14:paraId="4F5C2806" w14:textId="7C8AA7F4" w:rsidR="00502ABB" w:rsidRDefault="00502ABB" w:rsidP="00DD1092">
            <w:pPr>
              <w:pStyle w:val="BodyText"/>
              <w:numPr>
                <w:ilvl w:val="0"/>
                <w:numId w:val="21"/>
              </w:numPr>
              <w:rPr>
                <w:rFonts w:eastAsia="Times New Roman"/>
                <w:bCs/>
                <w:sz w:val="24"/>
                <w:szCs w:val="24"/>
              </w:rPr>
            </w:pPr>
            <w:r w:rsidRPr="00502ABB">
              <w:rPr>
                <w:rFonts w:eastAsia="Times New Roman"/>
                <w:bCs/>
                <w:sz w:val="24"/>
                <w:szCs w:val="24"/>
              </w:rPr>
              <w:t>Ensure that all patients requesting emergency contraception are offered access to a Chlamydia screening kit, either from the pharmacy’s stock or by ordering</w:t>
            </w:r>
            <w:r>
              <w:rPr>
                <w:rFonts w:eastAsia="Times New Roman"/>
                <w:bCs/>
                <w:sz w:val="24"/>
                <w:szCs w:val="24"/>
              </w:rPr>
              <w:t xml:space="preserve"> a postal kit</w:t>
            </w:r>
            <w:r w:rsidRPr="00502ABB">
              <w:rPr>
                <w:rFonts w:eastAsia="Times New Roman"/>
                <w:bCs/>
                <w:sz w:val="24"/>
                <w:szCs w:val="24"/>
              </w:rPr>
              <w:t xml:space="preserve"> online via the Unity Sexual Health website. Patients should be strongly encouraged to complete and return the test as per the printed instructions</w:t>
            </w:r>
            <w:r>
              <w:rPr>
                <w:rFonts w:eastAsia="Times New Roman"/>
                <w:bCs/>
                <w:sz w:val="24"/>
                <w:szCs w:val="24"/>
              </w:rPr>
              <w:t>.</w:t>
            </w:r>
          </w:p>
          <w:p w14:paraId="7EBBEE96" w14:textId="79410B51" w:rsidR="00DD1092" w:rsidRPr="00F21AB9" w:rsidRDefault="00DD1092" w:rsidP="00DD1092">
            <w:pPr>
              <w:pStyle w:val="BodyText"/>
              <w:numPr>
                <w:ilvl w:val="0"/>
                <w:numId w:val="21"/>
              </w:numPr>
              <w:rPr>
                <w:rFonts w:eastAsia="Times New Roman"/>
                <w:bCs/>
                <w:sz w:val="24"/>
                <w:szCs w:val="24"/>
              </w:rPr>
            </w:pPr>
            <w:r w:rsidRPr="00F21AB9">
              <w:rPr>
                <w:rFonts w:eastAsia="Times New Roman"/>
                <w:bCs/>
                <w:sz w:val="24"/>
                <w:szCs w:val="24"/>
              </w:rPr>
              <w:t xml:space="preserve">Provide a free condom supply pack (bag of 6 condoms and a sachet of lubricant) to every patient requesting EHC and / or Chlamydia </w:t>
            </w:r>
            <w:proofErr w:type="gramStart"/>
            <w:r w:rsidRPr="00F21AB9">
              <w:rPr>
                <w:rFonts w:eastAsia="Times New Roman"/>
                <w:bCs/>
                <w:sz w:val="24"/>
                <w:szCs w:val="24"/>
              </w:rPr>
              <w:t>treatment</w:t>
            </w:r>
            <w:proofErr w:type="gramEnd"/>
            <w:r w:rsidRPr="00F21AB9">
              <w:rPr>
                <w:rFonts w:eastAsia="Times New Roman"/>
                <w:bCs/>
                <w:sz w:val="24"/>
                <w:szCs w:val="24"/>
              </w:rPr>
              <w:t xml:space="preserve"> </w:t>
            </w:r>
          </w:p>
          <w:p w14:paraId="0ABCFC76" w14:textId="77777777" w:rsidR="00DD1092" w:rsidRPr="00F21AB9" w:rsidRDefault="00DD1092" w:rsidP="00DD1092">
            <w:pPr>
              <w:pStyle w:val="BodyText"/>
              <w:numPr>
                <w:ilvl w:val="0"/>
                <w:numId w:val="21"/>
              </w:numPr>
              <w:rPr>
                <w:rFonts w:eastAsia="Times New Roman"/>
                <w:bCs/>
                <w:sz w:val="24"/>
                <w:szCs w:val="24"/>
              </w:rPr>
            </w:pPr>
            <w:r w:rsidRPr="00F21AB9">
              <w:rPr>
                <w:rFonts w:eastAsia="Times New Roman"/>
                <w:bCs/>
                <w:sz w:val="24"/>
                <w:szCs w:val="24"/>
              </w:rPr>
              <w:t xml:space="preserve">Provide signposting to other sexual health services or support for young people as appropriate (particularly those excluded from the PGD) and promote better sexual health through </w:t>
            </w:r>
            <w:proofErr w:type="gramStart"/>
            <w:r w:rsidRPr="00F21AB9">
              <w:rPr>
                <w:rFonts w:eastAsia="Times New Roman"/>
                <w:bCs/>
                <w:sz w:val="24"/>
                <w:szCs w:val="24"/>
              </w:rPr>
              <w:t>consultations</w:t>
            </w:r>
            <w:proofErr w:type="gramEnd"/>
          </w:p>
          <w:p w14:paraId="0F2DFA09" w14:textId="77777777" w:rsidR="00DD1092" w:rsidRPr="00F21AB9" w:rsidRDefault="00DD1092" w:rsidP="00DD1092">
            <w:pPr>
              <w:pStyle w:val="BodyText"/>
              <w:numPr>
                <w:ilvl w:val="0"/>
                <w:numId w:val="21"/>
              </w:numPr>
              <w:rPr>
                <w:rFonts w:eastAsia="Times New Roman"/>
                <w:bCs/>
                <w:sz w:val="24"/>
                <w:szCs w:val="24"/>
              </w:rPr>
            </w:pPr>
            <w:r w:rsidRPr="00F21AB9">
              <w:rPr>
                <w:rFonts w:eastAsia="Times New Roman"/>
                <w:bCs/>
                <w:sz w:val="24"/>
                <w:szCs w:val="24"/>
              </w:rPr>
              <w:t xml:space="preserve">Provide these specified services as well as routine advice and support to patients which promotes positive sexual health and wellbeing. </w:t>
            </w:r>
          </w:p>
          <w:p w14:paraId="3A6D50B6" w14:textId="5FBFBEF0" w:rsidR="00A53A56" w:rsidRDefault="00BD5504" w:rsidP="00F4243D">
            <w:pPr>
              <w:pStyle w:val="ListParagraph"/>
              <w:numPr>
                <w:ilvl w:val="0"/>
                <w:numId w:val="21"/>
              </w:numPr>
              <w:rPr>
                <w:rFonts w:cs="Arial"/>
                <w:bCs/>
                <w:szCs w:val="24"/>
              </w:rPr>
            </w:pPr>
            <w:r w:rsidRPr="00F21AB9">
              <w:rPr>
                <w:rFonts w:cs="Arial"/>
                <w:bCs/>
                <w:szCs w:val="24"/>
              </w:rPr>
              <w:t>F</w:t>
            </w:r>
            <w:r w:rsidR="00A53A56" w:rsidRPr="00F21AB9">
              <w:rPr>
                <w:rFonts w:cs="Arial"/>
                <w:bCs/>
                <w:szCs w:val="24"/>
              </w:rPr>
              <w:t>urther promote sexual health campaigns to raise awareness, address risky behaviours, and offer onward referral and signposting to populations at risk, especially for those who do not access conventional health services.</w:t>
            </w:r>
          </w:p>
          <w:p w14:paraId="580544DF" w14:textId="77777777" w:rsidR="007718EF" w:rsidRPr="00F21AB9" w:rsidRDefault="007718EF" w:rsidP="007718EF">
            <w:pPr>
              <w:pStyle w:val="ListParagraph"/>
              <w:rPr>
                <w:rFonts w:cs="Arial"/>
                <w:bCs/>
                <w:szCs w:val="24"/>
              </w:rPr>
            </w:pPr>
          </w:p>
          <w:p w14:paraId="1012988B" w14:textId="0CB5EC54" w:rsidR="005A4D3E" w:rsidRPr="00F21AB9" w:rsidRDefault="006306E5" w:rsidP="006306E5">
            <w:pPr>
              <w:rPr>
                <w:rFonts w:cs="Arial"/>
                <w:bCs/>
                <w:szCs w:val="24"/>
              </w:rPr>
            </w:pPr>
            <w:r w:rsidRPr="00F21AB9">
              <w:rPr>
                <w:rFonts w:cs="Arial"/>
                <w:bCs/>
                <w:szCs w:val="24"/>
              </w:rPr>
              <w:t xml:space="preserve">Services should be young person focused; adhere to the You’re Welcome, Young People Friendly </w:t>
            </w:r>
            <w:r w:rsidR="008D039C" w:rsidRPr="00F21AB9">
              <w:rPr>
                <w:rFonts w:cs="Arial"/>
                <w:bCs/>
                <w:szCs w:val="24"/>
              </w:rPr>
              <w:t xml:space="preserve">(YPF) </w:t>
            </w:r>
            <w:r w:rsidRPr="00F21AB9">
              <w:rPr>
                <w:rFonts w:cs="Arial"/>
                <w:bCs/>
                <w:szCs w:val="24"/>
              </w:rPr>
              <w:t>standards</w:t>
            </w:r>
            <w:r w:rsidR="005A4D3E" w:rsidRPr="00F21AB9">
              <w:rPr>
                <w:rFonts w:cs="Arial"/>
                <w:bCs/>
                <w:szCs w:val="24"/>
              </w:rPr>
              <w:t xml:space="preserve"> which include</w:t>
            </w:r>
            <w:r w:rsidRPr="00F21AB9">
              <w:rPr>
                <w:rFonts w:cs="Arial"/>
                <w:bCs/>
                <w:szCs w:val="24"/>
              </w:rPr>
              <w:t xml:space="preserve"> having due regard to access to the service, promotion of the service, consent and confidentiality, the consultation environment, staff training and involving young people in the development and evaluation of the service</w:t>
            </w:r>
            <w:r w:rsidR="008D039C" w:rsidRPr="00F21AB9">
              <w:rPr>
                <w:rFonts w:cs="Arial"/>
                <w:bCs/>
                <w:szCs w:val="24"/>
              </w:rPr>
              <w:t>. Pharmacists wanting to participate in the local YPF accredited scheme should contact the commissioner for more details.</w:t>
            </w:r>
          </w:p>
          <w:p w14:paraId="0853484F" w14:textId="71BBA2A3" w:rsidR="006306E5" w:rsidRDefault="001F78AD" w:rsidP="006306E5">
            <w:pPr>
              <w:rPr>
                <w:rFonts w:cs="Arial"/>
                <w:bCs/>
                <w:szCs w:val="24"/>
              </w:rPr>
            </w:pPr>
            <w:r w:rsidRPr="00F21AB9">
              <w:rPr>
                <w:rFonts w:cs="Arial"/>
                <w:bCs/>
                <w:szCs w:val="24"/>
              </w:rPr>
              <w:t xml:space="preserve">The service will be provided in compliance with </w:t>
            </w:r>
            <w:hyperlink r:id="rId9" w:history="1">
              <w:r w:rsidRPr="00F21AB9">
                <w:rPr>
                  <w:rStyle w:val="Hyperlink"/>
                  <w:rFonts w:cs="Arial"/>
                  <w:bCs/>
                  <w:szCs w:val="24"/>
                </w:rPr>
                <w:t>Fraser Guid</w:t>
              </w:r>
              <w:r w:rsidR="00827713" w:rsidRPr="00F21AB9">
                <w:rPr>
                  <w:rStyle w:val="Hyperlink"/>
                  <w:rFonts w:cs="Arial"/>
                  <w:bCs/>
                  <w:szCs w:val="24"/>
                </w:rPr>
                <w:t>e</w:t>
              </w:r>
              <w:r w:rsidRPr="00F21AB9">
                <w:rPr>
                  <w:rStyle w:val="Hyperlink"/>
                  <w:rFonts w:cs="Arial"/>
                  <w:bCs/>
                  <w:szCs w:val="24"/>
                </w:rPr>
                <w:t>lines.</w:t>
              </w:r>
            </w:hyperlink>
            <w:r w:rsidR="002404F2" w:rsidRPr="00F21AB9">
              <w:rPr>
                <w:rFonts w:cs="Arial"/>
                <w:bCs/>
                <w:szCs w:val="24"/>
              </w:rPr>
              <w:t xml:space="preserve"> </w:t>
            </w:r>
          </w:p>
          <w:p w14:paraId="0DF26ECE" w14:textId="77777777" w:rsidR="004264F7" w:rsidRPr="00F21AB9" w:rsidRDefault="004264F7" w:rsidP="006306E5">
            <w:pPr>
              <w:rPr>
                <w:rStyle w:val="Hyperlink"/>
                <w:rFonts w:cs="Arial"/>
                <w:szCs w:val="24"/>
              </w:rPr>
            </w:pPr>
          </w:p>
          <w:p w14:paraId="1BAAB159" w14:textId="77777777" w:rsidR="00E94A4D" w:rsidRPr="00F21AB9" w:rsidRDefault="00310AB3" w:rsidP="00917508">
            <w:pPr>
              <w:rPr>
                <w:rFonts w:cs="Arial"/>
                <w:b/>
                <w:bCs/>
                <w:color w:val="339966"/>
                <w:szCs w:val="24"/>
              </w:rPr>
            </w:pPr>
            <w:r w:rsidRPr="00F21AB9">
              <w:rPr>
                <w:rFonts w:cs="Arial"/>
                <w:b/>
                <w:bCs/>
                <w:color w:val="339966"/>
                <w:szCs w:val="24"/>
              </w:rPr>
              <w:t>2</w:t>
            </w:r>
            <w:r w:rsidR="00E94A4D" w:rsidRPr="00F21AB9">
              <w:rPr>
                <w:rFonts w:cs="Arial"/>
                <w:b/>
                <w:bCs/>
                <w:color w:val="339966"/>
                <w:szCs w:val="24"/>
              </w:rPr>
              <w:t xml:space="preserve">.3 Population </w:t>
            </w:r>
            <w:proofErr w:type="gramStart"/>
            <w:r w:rsidR="00E94A4D" w:rsidRPr="00F21AB9">
              <w:rPr>
                <w:rFonts w:cs="Arial"/>
                <w:b/>
                <w:bCs/>
                <w:color w:val="339966"/>
                <w:szCs w:val="24"/>
              </w:rPr>
              <w:t>covered</w:t>
            </w:r>
            <w:proofErr w:type="gramEnd"/>
          </w:p>
          <w:p w14:paraId="7E626E08" w14:textId="77777777" w:rsidR="00E94A4D" w:rsidRPr="00F21AB9" w:rsidRDefault="00E94A4D" w:rsidP="00917508">
            <w:pPr>
              <w:rPr>
                <w:rFonts w:cs="Arial"/>
                <w:b/>
                <w:bCs/>
                <w:color w:val="339966"/>
                <w:szCs w:val="24"/>
              </w:rPr>
            </w:pPr>
          </w:p>
          <w:p w14:paraId="21242CC8" w14:textId="5A81A47F" w:rsidR="002C060B" w:rsidRPr="00F21AB9" w:rsidRDefault="001973AF" w:rsidP="00917508">
            <w:pPr>
              <w:rPr>
                <w:rFonts w:cs="Arial"/>
                <w:bCs/>
                <w:szCs w:val="24"/>
              </w:rPr>
            </w:pPr>
            <w:r w:rsidRPr="00F21AB9">
              <w:rPr>
                <w:rFonts w:cs="Arial"/>
                <w:bCs/>
                <w:szCs w:val="24"/>
              </w:rPr>
              <w:t>This service will cover all young people aged 13 – 24</w:t>
            </w:r>
            <w:r w:rsidR="00E40846" w:rsidRPr="00F21AB9">
              <w:rPr>
                <w:rFonts w:cs="Arial"/>
                <w:bCs/>
                <w:szCs w:val="24"/>
              </w:rPr>
              <w:t xml:space="preserve"> years</w:t>
            </w:r>
            <w:r w:rsidRPr="00F21AB9">
              <w:rPr>
                <w:rFonts w:cs="Arial"/>
                <w:bCs/>
                <w:szCs w:val="24"/>
              </w:rPr>
              <w:t xml:space="preserve"> in</w:t>
            </w:r>
            <w:r w:rsidR="00CA3770" w:rsidRPr="00F21AB9">
              <w:rPr>
                <w:rFonts w:cs="Arial"/>
                <w:bCs/>
                <w:szCs w:val="24"/>
              </w:rPr>
              <w:t xml:space="preserve"> North Somerset</w:t>
            </w:r>
            <w:r w:rsidRPr="00F21AB9">
              <w:rPr>
                <w:rFonts w:cs="Arial"/>
                <w:bCs/>
                <w:szCs w:val="24"/>
              </w:rPr>
              <w:t xml:space="preserve"> and will include those living out of area.</w:t>
            </w:r>
            <w:r w:rsidR="00CA3770" w:rsidRPr="00F21AB9">
              <w:rPr>
                <w:rFonts w:cs="Arial"/>
                <w:bCs/>
                <w:szCs w:val="24"/>
              </w:rPr>
              <w:t xml:space="preserve"> </w:t>
            </w:r>
          </w:p>
          <w:p w14:paraId="60F0C480" w14:textId="77777777" w:rsidR="000B011F" w:rsidRPr="00F21AB9" w:rsidRDefault="000B011F" w:rsidP="000B011F">
            <w:pPr>
              <w:suppressAutoHyphens w:val="0"/>
              <w:contextualSpacing/>
              <w:jc w:val="left"/>
              <w:rPr>
                <w:rFonts w:cs="Arial"/>
                <w:b/>
                <w:bCs/>
                <w:color w:val="339966"/>
                <w:szCs w:val="24"/>
              </w:rPr>
            </w:pPr>
          </w:p>
          <w:p w14:paraId="0FAF4316" w14:textId="77777777" w:rsidR="00E94A4D" w:rsidRPr="00F21AB9" w:rsidRDefault="00310AB3" w:rsidP="000B011F">
            <w:pPr>
              <w:rPr>
                <w:rFonts w:cs="Arial"/>
                <w:b/>
                <w:bCs/>
                <w:color w:val="339966"/>
                <w:szCs w:val="24"/>
              </w:rPr>
            </w:pPr>
            <w:r w:rsidRPr="00F21AB9">
              <w:rPr>
                <w:rFonts w:cs="Arial"/>
                <w:b/>
                <w:bCs/>
                <w:color w:val="339966"/>
                <w:szCs w:val="24"/>
              </w:rPr>
              <w:lastRenderedPageBreak/>
              <w:t>2</w:t>
            </w:r>
            <w:r w:rsidR="00E94A4D" w:rsidRPr="00F21AB9">
              <w:rPr>
                <w:rFonts w:cs="Arial"/>
                <w:b/>
                <w:bCs/>
                <w:color w:val="339966"/>
                <w:szCs w:val="24"/>
              </w:rPr>
              <w:t xml:space="preserve">.4 Any acceptance and exclusion criteria and thresholds </w:t>
            </w:r>
          </w:p>
          <w:p w14:paraId="51AD5BA3" w14:textId="78FF82E3" w:rsidR="00AE2091" w:rsidRPr="00F21AB9" w:rsidRDefault="00223297" w:rsidP="000B011F">
            <w:pPr>
              <w:rPr>
                <w:rFonts w:cs="Arial"/>
                <w:b/>
                <w:bCs/>
                <w:color w:val="339966"/>
                <w:szCs w:val="24"/>
              </w:rPr>
            </w:pPr>
            <w:r w:rsidRPr="00F21AB9">
              <w:rPr>
                <w:rFonts w:cs="Arial"/>
                <w:b/>
                <w:bCs/>
                <w:color w:val="339966"/>
                <w:szCs w:val="24"/>
              </w:rPr>
              <w:t>Exclusions</w:t>
            </w:r>
          </w:p>
          <w:p w14:paraId="02A16259" w14:textId="043ADCF3" w:rsidR="00A53A56" w:rsidRPr="00F21AB9" w:rsidRDefault="00A53A56" w:rsidP="00E40846">
            <w:pPr>
              <w:pStyle w:val="ListParagraph"/>
              <w:numPr>
                <w:ilvl w:val="0"/>
                <w:numId w:val="29"/>
              </w:numPr>
              <w:rPr>
                <w:rFonts w:cs="Arial"/>
                <w:bCs/>
                <w:szCs w:val="24"/>
              </w:rPr>
            </w:pPr>
            <w:r w:rsidRPr="00F21AB9">
              <w:rPr>
                <w:rFonts w:cs="Arial"/>
                <w:bCs/>
                <w:szCs w:val="24"/>
              </w:rPr>
              <w:t>This service excludes HIV treatment and care.</w:t>
            </w:r>
            <w:r w:rsidR="00E40846" w:rsidRPr="00F21AB9">
              <w:rPr>
                <w:rFonts w:cs="Arial"/>
                <w:bCs/>
                <w:szCs w:val="24"/>
              </w:rPr>
              <w:t xml:space="preserve"> </w:t>
            </w:r>
          </w:p>
          <w:p w14:paraId="20FC5220" w14:textId="5156F439" w:rsidR="00A53A56" w:rsidRPr="00F21AB9" w:rsidRDefault="00E40846" w:rsidP="001A76F6">
            <w:pPr>
              <w:pStyle w:val="ListParagraph"/>
              <w:numPr>
                <w:ilvl w:val="0"/>
                <w:numId w:val="21"/>
              </w:numPr>
              <w:rPr>
                <w:rFonts w:cs="Arial"/>
                <w:bCs/>
                <w:szCs w:val="24"/>
              </w:rPr>
            </w:pPr>
            <w:r w:rsidRPr="00F21AB9">
              <w:rPr>
                <w:rFonts w:cs="Arial"/>
                <w:bCs/>
                <w:szCs w:val="24"/>
              </w:rPr>
              <w:t>Young people w</w:t>
            </w:r>
            <w:r w:rsidR="00A53A56" w:rsidRPr="00F21AB9">
              <w:rPr>
                <w:rFonts w:cs="Arial"/>
                <w:bCs/>
                <w:szCs w:val="24"/>
              </w:rPr>
              <w:t>ho are</w:t>
            </w:r>
            <w:r w:rsidRPr="00F21AB9">
              <w:rPr>
                <w:rFonts w:cs="Arial"/>
                <w:bCs/>
                <w:szCs w:val="24"/>
              </w:rPr>
              <w:t xml:space="preserve"> assessed as </w:t>
            </w:r>
            <w:r w:rsidR="00A53A56" w:rsidRPr="00F21AB9">
              <w:rPr>
                <w:rFonts w:cs="Arial"/>
                <w:bCs/>
                <w:szCs w:val="24"/>
              </w:rPr>
              <w:t xml:space="preserve">unsuitable for treatment under the conditions of </w:t>
            </w:r>
            <w:r w:rsidR="003017DD" w:rsidRPr="00F21AB9">
              <w:rPr>
                <w:rFonts w:cs="Arial"/>
                <w:bCs/>
                <w:szCs w:val="24"/>
              </w:rPr>
              <w:t>the BNSSG</w:t>
            </w:r>
            <w:r w:rsidR="00A53A56" w:rsidRPr="00F21AB9">
              <w:rPr>
                <w:rFonts w:cs="Arial"/>
                <w:bCs/>
                <w:szCs w:val="24"/>
              </w:rPr>
              <w:t xml:space="preserve"> PGD</w:t>
            </w:r>
          </w:p>
          <w:p w14:paraId="0FE4112B" w14:textId="32117F39" w:rsidR="003017DD" w:rsidRPr="00F21AB9" w:rsidRDefault="003017DD" w:rsidP="003017DD">
            <w:pPr>
              <w:rPr>
                <w:rFonts w:cs="Arial"/>
                <w:bCs/>
                <w:szCs w:val="24"/>
              </w:rPr>
            </w:pPr>
            <w:r w:rsidRPr="00F21AB9">
              <w:rPr>
                <w:rFonts w:cs="Arial"/>
                <w:b/>
                <w:bCs/>
                <w:color w:val="339966"/>
                <w:szCs w:val="24"/>
              </w:rPr>
              <w:t>Acceptance</w:t>
            </w:r>
          </w:p>
          <w:p w14:paraId="0AE746F8" w14:textId="2D6CC918" w:rsidR="00A53A56" w:rsidRPr="00F21AB9" w:rsidRDefault="003017DD" w:rsidP="001A76F6">
            <w:pPr>
              <w:pStyle w:val="ListParagraph"/>
              <w:numPr>
                <w:ilvl w:val="0"/>
                <w:numId w:val="21"/>
              </w:numPr>
              <w:rPr>
                <w:rFonts w:cs="Arial"/>
                <w:bCs/>
                <w:szCs w:val="24"/>
              </w:rPr>
            </w:pPr>
            <w:r w:rsidRPr="00F21AB9">
              <w:rPr>
                <w:rFonts w:cs="Arial"/>
                <w:bCs/>
                <w:szCs w:val="24"/>
              </w:rPr>
              <w:t>Consent must be obtained</w:t>
            </w:r>
            <w:r w:rsidR="00A53A56" w:rsidRPr="00F21AB9">
              <w:rPr>
                <w:rFonts w:cs="Arial"/>
                <w:bCs/>
                <w:szCs w:val="24"/>
              </w:rPr>
              <w:t xml:space="preserve"> </w:t>
            </w:r>
            <w:r w:rsidR="001E321A" w:rsidRPr="00F21AB9">
              <w:rPr>
                <w:rFonts w:cs="Arial"/>
                <w:bCs/>
                <w:szCs w:val="24"/>
              </w:rPr>
              <w:t>for any</w:t>
            </w:r>
            <w:r w:rsidR="00A53A56" w:rsidRPr="00F21AB9">
              <w:rPr>
                <w:rFonts w:cs="Arial"/>
                <w:bCs/>
                <w:szCs w:val="24"/>
              </w:rPr>
              <w:t xml:space="preserve"> treatment </w:t>
            </w:r>
            <w:proofErr w:type="gramStart"/>
            <w:r w:rsidR="00223297" w:rsidRPr="00F21AB9">
              <w:rPr>
                <w:rFonts w:cs="Arial"/>
                <w:bCs/>
                <w:szCs w:val="24"/>
              </w:rPr>
              <w:t>offered</w:t>
            </w:r>
            <w:proofErr w:type="gramEnd"/>
          </w:p>
          <w:p w14:paraId="70D373AF" w14:textId="38521413" w:rsidR="003017DD" w:rsidRPr="00F21AB9" w:rsidRDefault="003017DD" w:rsidP="003017DD">
            <w:pPr>
              <w:numPr>
                <w:ilvl w:val="0"/>
                <w:numId w:val="21"/>
              </w:numPr>
              <w:rPr>
                <w:rFonts w:cs="Arial"/>
                <w:bCs/>
                <w:szCs w:val="24"/>
              </w:rPr>
            </w:pPr>
            <w:r w:rsidRPr="00F21AB9">
              <w:rPr>
                <w:rFonts w:cs="Arial"/>
                <w:bCs/>
                <w:szCs w:val="24"/>
              </w:rPr>
              <w:t>Partners will be treated for free, following a positive</w:t>
            </w:r>
            <w:r w:rsidR="00CE0CBA" w:rsidRPr="00F21AB9">
              <w:rPr>
                <w:rFonts w:cs="Arial"/>
                <w:bCs/>
                <w:szCs w:val="24"/>
              </w:rPr>
              <w:t xml:space="preserve"> </w:t>
            </w:r>
            <w:r w:rsidR="001E321A" w:rsidRPr="00F21AB9">
              <w:rPr>
                <w:rFonts w:cs="Arial"/>
                <w:bCs/>
                <w:szCs w:val="24"/>
              </w:rPr>
              <w:t>chlamydia screen</w:t>
            </w:r>
            <w:r w:rsidRPr="00F21AB9">
              <w:rPr>
                <w:rFonts w:cs="Arial"/>
                <w:bCs/>
                <w:szCs w:val="24"/>
              </w:rPr>
              <w:t xml:space="preserve"> result from Unity Screening Office, under BNSSG PGD inclusion criteria</w:t>
            </w:r>
            <w:r w:rsidR="004C381E" w:rsidRPr="00F21AB9">
              <w:rPr>
                <w:rFonts w:cs="Arial"/>
                <w:bCs/>
                <w:szCs w:val="24"/>
              </w:rPr>
              <w:t>.</w:t>
            </w:r>
          </w:p>
          <w:p w14:paraId="3FD8F5D8" w14:textId="2510466C" w:rsidR="004C381E" w:rsidRPr="00F21AB9" w:rsidRDefault="004C381E" w:rsidP="003017DD">
            <w:pPr>
              <w:numPr>
                <w:ilvl w:val="0"/>
                <w:numId w:val="21"/>
              </w:numPr>
              <w:rPr>
                <w:rFonts w:cs="Arial"/>
                <w:bCs/>
                <w:szCs w:val="24"/>
              </w:rPr>
            </w:pPr>
            <w:r w:rsidRPr="00F21AB9">
              <w:rPr>
                <w:rFonts w:cs="Arial"/>
                <w:bCs/>
                <w:szCs w:val="24"/>
              </w:rPr>
              <w:t xml:space="preserve">Pharmacists can use their professional judgment to include </w:t>
            </w:r>
            <w:r w:rsidR="003B1760" w:rsidRPr="00F21AB9">
              <w:rPr>
                <w:rFonts w:cs="Arial"/>
                <w:bCs/>
                <w:szCs w:val="24"/>
              </w:rPr>
              <w:t>vulnerable young</w:t>
            </w:r>
            <w:r w:rsidRPr="00F21AB9">
              <w:rPr>
                <w:rFonts w:cs="Arial"/>
                <w:bCs/>
                <w:szCs w:val="24"/>
              </w:rPr>
              <w:t xml:space="preserve"> people over the age of 24 years </w:t>
            </w:r>
            <w:proofErr w:type="gramStart"/>
            <w:r w:rsidRPr="00F21AB9">
              <w:rPr>
                <w:rFonts w:cs="Arial"/>
                <w:bCs/>
                <w:szCs w:val="24"/>
              </w:rPr>
              <w:t>where</w:t>
            </w:r>
            <w:proofErr w:type="gramEnd"/>
            <w:r w:rsidRPr="00F21AB9">
              <w:rPr>
                <w:rFonts w:cs="Arial"/>
                <w:bCs/>
                <w:szCs w:val="24"/>
              </w:rPr>
              <w:t xml:space="preserve"> indicated </w:t>
            </w:r>
            <w:proofErr w:type="spellStart"/>
            <w:r w:rsidRPr="00F21AB9">
              <w:rPr>
                <w:rFonts w:cs="Arial"/>
                <w:bCs/>
                <w:szCs w:val="24"/>
              </w:rPr>
              <w:t>eg</w:t>
            </w:r>
            <w:proofErr w:type="spellEnd"/>
            <w:r w:rsidRPr="00F21AB9">
              <w:rPr>
                <w:rFonts w:cs="Arial"/>
                <w:bCs/>
                <w:szCs w:val="24"/>
              </w:rPr>
              <w:t xml:space="preserve"> </w:t>
            </w:r>
            <w:r w:rsidR="003B1760" w:rsidRPr="00F21AB9">
              <w:rPr>
                <w:rFonts w:cs="Arial"/>
                <w:bCs/>
                <w:szCs w:val="24"/>
              </w:rPr>
              <w:t>young people with a learning difficulty</w:t>
            </w:r>
          </w:p>
          <w:p w14:paraId="464A0C19" w14:textId="213DC139" w:rsidR="003017DD" w:rsidRPr="00F21AB9" w:rsidRDefault="003017DD" w:rsidP="003017DD">
            <w:pPr>
              <w:pStyle w:val="ListParagraph"/>
              <w:rPr>
                <w:rFonts w:cs="Arial"/>
                <w:bCs/>
                <w:szCs w:val="24"/>
              </w:rPr>
            </w:pPr>
          </w:p>
          <w:p w14:paraId="6BF45A67" w14:textId="77777777" w:rsidR="00E94A4D" w:rsidRPr="00F21AB9" w:rsidRDefault="00310AB3" w:rsidP="000B011F">
            <w:pPr>
              <w:rPr>
                <w:rFonts w:cs="Arial"/>
                <w:b/>
                <w:bCs/>
                <w:color w:val="339966"/>
                <w:szCs w:val="24"/>
              </w:rPr>
            </w:pPr>
            <w:r w:rsidRPr="00F21AB9">
              <w:rPr>
                <w:rFonts w:cs="Arial"/>
                <w:b/>
                <w:bCs/>
                <w:color w:val="339966"/>
                <w:szCs w:val="24"/>
              </w:rPr>
              <w:t>2</w:t>
            </w:r>
            <w:r w:rsidR="00E94A4D" w:rsidRPr="00F21AB9">
              <w:rPr>
                <w:rFonts w:cs="Arial"/>
                <w:b/>
                <w:bCs/>
                <w:color w:val="339966"/>
                <w:szCs w:val="24"/>
              </w:rPr>
              <w:t>.5 Interdependencies with other services</w:t>
            </w:r>
          </w:p>
          <w:p w14:paraId="183D0B5F" w14:textId="77777777" w:rsidR="004B1CDA" w:rsidRPr="00F21AB9" w:rsidRDefault="004B1CDA" w:rsidP="004B1CDA">
            <w:pPr>
              <w:rPr>
                <w:rFonts w:cs="Arial"/>
                <w:b/>
                <w:bCs/>
                <w:color w:val="339966"/>
                <w:szCs w:val="24"/>
              </w:rPr>
            </w:pPr>
          </w:p>
          <w:p w14:paraId="409C3BEE" w14:textId="37F35455" w:rsidR="001973AF" w:rsidRPr="00F21AB9" w:rsidRDefault="001973AF" w:rsidP="00917508">
            <w:pPr>
              <w:rPr>
                <w:rFonts w:cs="Arial"/>
                <w:bCs/>
                <w:szCs w:val="24"/>
              </w:rPr>
            </w:pPr>
            <w:r w:rsidRPr="00F21AB9">
              <w:rPr>
                <w:rFonts w:cs="Arial"/>
                <w:bCs/>
                <w:szCs w:val="24"/>
              </w:rPr>
              <w:t xml:space="preserve">The Service is required to work with </w:t>
            </w:r>
            <w:r w:rsidR="00FF405C" w:rsidRPr="00F21AB9">
              <w:rPr>
                <w:rFonts w:cs="Arial"/>
                <w:bCs/>
                <w:szCs w:val="24"/>
              </w:rPr>
              <w:t xml:space="preserve">and refer to </w:t>
            </w:r>
            <w:r w:rsidR="00802A5C" w:rsidRPr="00F21AB9">
              <w:rPr>
                <w:rFonts w:cs="Arial"/>
                <w:bCs/>
                <w:szCs w:val="24"/>
              </w:rPr>
              <w:t xml:space="preserve">wider </w:t>
            </w:r>
            <w:r w:rsidRPr="00F21AB9">
              <w:rPr>
                <w:rFonts w:cs="Arial"/>
                <w:bCs/>
                <w:szCs w:val="24"/>
              </w:rPr>
              <w:t xml:space="preserve">partners to address the needs of service users and increase the opportunity for service users to achieve optimum sexual health outcomes. </w:t>
            </w:r>
          </w:p>
          <w:p w14:paraId="44B3E36A" w14:textId="77777777" w:rsidR="001973AF" w:rsidRPr="00F21AB9" w:rsidRDefault="001973AF" w:rsidP="00917508">
            <w:pPr>
              <w:rPr>
                <w:rFonts w:cs="Arial"/>
                <w:bCs/>
                <w:szCs w:val="24"/>
              </w:rPr>
            </w:pPr>
            <w:r w:rsidRPr="00F21AB9">
              <w:rPr>
                <w:rFonts w:cs="Arial"/>
                <w:bCs/>
                <w:szCs w:val="24"/>
              </w:rPr>
              <w:t xml:space="preserve">Partners will include: </w:t>
            </w:r>
          </w:p>
          <w:p w14:paraId="44283E10" w14:textId="2C342F1C" w:rsidR="001973AF" w:rsidRPr="00F21AB9" w:rsidRDefault="00685592" w:rsidP="001973AF">
            <w:pPr>
              <w:pStyle w:val="ListParagraph"/>
              <w:numPr>
                <w:ilvl w:val="0"/>
                <w:numId w:val="25"/>
              </w:numPr>
              <w:rPr>
                <w:rFonts w:cs="Arial"/>
                <w:bCs/>
                <w:szCs w:val="24"/>
              </w:rPr>
            </w:pPr>
            <w:r w:rsidRPr="00F21AB9">
              <w:rPr>
                <w:rFonts w:cs="Arial"/>
                <w:bCs/>
                <w:szCs w:val="24"/>
              </w:rPr>
              <w:t xml:space="preserve">Unity </w:t>
            </w:r>
            <w:r w:rsidR="001973AF" w:rsidRPr="00F21AB9">
              <w:rPr>
                <w:rFonts w:cs="Arial"/>
                <w:bCs/>
                <w:szCs w:val="24"/>
              </w:rPr>
              <w:t>West</w:t>
            </w:r>
            <w:r w:rsidRPr="00F21AB9">
              <w:rPr>
                <w:rFonts w:cs="Arial"/>
                <w:bCs/>
                <w:szCs w:val="24"/>
              </w:rPr>
              <w:t>o</w:t>
            </w:r>
            <w:r w:rsidR="001973AF" w:rsidRPr="00F21AB9">
              <w:rPr>
                <w:rFonts w:cs="Arial"/>
                <w:bCs/>
                <w:szCs w:val="24"/>
              </w:rPr>
              <w:t xml:space="preserve">n Integrated </w:t>
            </w:r>
            <w:r w:rsidR="002435DA" w:rsidRPr="00F21AB9">
              <w:rPr>
                <w:rFonts w:cs="Arial"/>
                <w:bCs/>
                <w:szCs w:val="24"/>
              </w:rPr>
              <w:t xml:space="preserve">specialist </w:t>
            </w:r>
            <w:r w:rsidR="001973AF" w:rsidRPr="00F21AB9">
              <w:rPr>
                <w:rFonts w:cs="Arial"/>
                <w:bCs/>
                <w:szCs w:val="24"/>
              </w:rPr>
              <w:t xml:space="preserve">Sexual Health </w:t>
            </w:r>
            <w:r w:rsidR="002435DA" w:rsidRPr="00F21AB9">
              <w:rPr>
                <w:rFonts w:cs="Arial"/>
                <w:bCs/>
                <w:szCs w:val="24"/>
              </w:rPr>
              <w:t>Clinic</w:t>
            </w:r>
            <w:r w:rsidR="00FF405C" w:rsidRPr="00F21AB9">
              <w:rPr>
                <w:rFonts w:cs="Arial"/>
                <w:bCs/>
                <w:szCs w:val="24"/>
              </w:rPr>
              <w:t xml:space="preserve"> </w:t>
            </w:r>
            <w:r w:rsidR="001973AF" w:rsidRPr="00F21AB9">
              <w:rPr>
                <w:rFonts w:cs="Arial"/>
                <w:bCs/>
                <w:szCs w:val="24"/>
              </w:rPr>
              <w:t xml:space="preserve">(WISH) </w:t>
            </w:r>
            <w:r w:rsidR="00327CA5" w:rsidRPr="00F21AB9">
              <w:rPr>
                <w:rFonts w:cs="Arial"/>
                <w:bCs/>
                <w:szCs w:val="24"/>
              </w:rPr>
              <w:t>&amp; Clevedon Clinic</w:t>
            </w:r>
          </w:p>
          <w:p w14:paraId="56E1BC82" w14:textId="77777777" w:rsidR="001973AF" w:rsidRPr="00F21AB9" w:rsidRDefault="001973AF" w:rsidP="001973AF">
            <w:pPr>
              <w:pStyle w:val="ListParagraph"/>
              <w:numPr>
                <w:ilvl w:val="0"/>
                <w:numId w:val="25"/>
              </w:numPr>
              <w:rPr>
                <w:rFonts w:cs="Arial"/>
                <w:bCs/>
                <w:szCs w:val="24"/>
              </w:rPr>
            </w:pPr>
            <w:r w:rsidRPr="00F21AB9">
              <w:rPr>
                <w:rFonts w:cs="Arial"/>
                <w:bCs/>
                <w:szCs w:val="24"/>
              </w:rPr>
              <w:t>General Practice</w:t>
            </w:r>
          </w:p>
          <w:p w14:paraId="2D09B91E" w14:textId="26C5BD7F" w:rsidR="00685592" w:rsidRPr="00F21AB9" w:rsidRDefault="00685592" w:rsidP="001973AF">
            <w:pPr>
              <w:pStyle w:val="ListParagraph"/>
              <w:numPr>
                <w:ilvl w:val="0"/>
                <w:numId w:val="25"/>
              </w:numPr>
              <w:rPr>
                <w:rFonts w:cs="Arial"/>
                <w:bCs/>
                <w:szCs w:val="24"/>
              </w:rPr>
            </w:pPr>
            <w:r w:rsidRPr="00F21AB9">
              <w:rPr>
                <w:rFonts w:cs="Arial"/>
                <w:bCs/>
                <w:szCs w:val="24"/>
              </w:rPr>
              <w:t>Weston College</w:t>
            </w:r>
          </w:p>
          <w:p w14:paraId="0B037A45" w14:textId="4C39C4BE" w:rsidR="00327CA5" w:rsidRPr="00F21AB9" w:rsidRDefault="00327CA5" w:rsidP="001973AF">
            <w:pPr>
              <w:pStyle w:val="ListParagraph"/>
              <w:numPr>
                <w:ilvl w:val="0"/>
                <w:numId w:val="25"/>
              </w:numPr>
              <w:rPr>
                <w:rFonts w:cs="Arial"/>
                <w:bCs/>
                <w:szCs w:val="24"/>
              </w:rPr>
            </w:pPr>
            <w:r w:rsidRPr="00F21AB9">
              <w:rPr>
                <w:rFonts w:cs="Arial"/>
                <w:bCs/>
                <w:szCs w:val="24"/>
              </w:rPr>
              <w:t>School nurses</w:t>
            </w:r>
          </w:p>
          <w:p w14:paraId="1313E27F" w14:textId="28559338" w:rsidR="002F6059" w:rsidRPr="00F21AB9" w:rsidRDefault="002F6059" w:rsidP="002F6059">
            <w:pPr>
              <w:rPr>
                <w:rFonts w:eastAsia="MS ??" w:cs="Arial"/>
                <w:bCs/>
                <w:szCs w:val="24"/>
              </w:rPr>
            </w:pPr>
            <w:r w:rsidRPr="00F21AB9">
              <w:rPr>
                <w:rFonts w:eastAsia="MS ??" w:cs="Arial"/>
                <w:bCs/>
                <w:szCs w:val="24"/>
              </w:rPr>
              <w:t>Where a young person requesting EHC cannot be seen, a supported referral to another pharmacy, WISH</w:t>
            </w:r>
            <w:r w:rsidR="00B40357">
              <w:rPr>
                <w:rFonts w:eastAsia="MS ??" w:cs="Arial"/>
                <w:bCs/>
                <w:szCs w:val="24"/>
              </w:rPr>
              <w:t xml:space="preserve"> / Unity Sexual Health Clinic or </w:t>
            </w:r>
            <w:r w:rsidRPr="00F21AB9">
              <w:rPr>
                <w:rFonts w:eastAsia="MS ??" w:cs="Arial"/>
                <w:bCs/>
                <w:szCs w:val="24"/>
              </w:rPr>
              <w:t>GP where appropriate should be made so the young person is seen that day.</w:t>
            </w:r>
          </w:p>
          <w:p w14:paraId="784B2513" w14:textId="77777777" w:rsidR="00450A42" w:rsidRPr="00F21AB9" w:rsidRDefault="00450A42" w:rsidP="002F6059">
            <w:pPr>
              <w:rPr>
                <w:rFonts w:eastAsia="MS ??" w:cs="Arial"/>
                <w:bCs/>
                <w:szCs w:val="24"/>
              </w:rPr>
            </w:pPr>
          </w:p>
          <w:p w14:paraId="68EBDF63" w14:textId="77777777" w:rsidR="00327CA5" w:rsidRPr="00F21AB9" w:rsidRDefault="00327CA5" w:rsidP="000B011F">
            <w:pPr>
              <w:rPr>
                <w:rFonts w:cs="Arial"/>
                <w:b/>
                <w:bCs/>
                <w:color w:val="339966"/>
                <w:szCs w:val="24"/>
              </w:rPr>
            </w:pPr>
          </w:p>
          <w:p w14:paraId="15475721" w14:textId="2BF17395" w:rsidR="00E94A4D" w:rsidRPr="00F21AB9" w:rsidRDefault="00310AB3" w:rsidP="000B011F">
            <w:pPr>
              <w:rPr>
                <w:rFonts w:eastAsia="MS ??" w:cs="Arial"/>
                <w:bCs/>
                <w:szCs w:val="24"/>
              </w:rPr>
            </w:pPr>
            <w:r w:rsidRPr="00F21AB9">
              <w:rPr>
                <w:rFonts w:cs="Arial"/>
                <w:b/>
                <w:bCs/>
                <w:color w:val="339966"/>
                <w:szCs w:val="24"/>
              </w:rPr>
              <w:t>2</w:t>
            </w:r>
            <w:r w:rsidR="00E94A4D" w:rsidRPr="00F21AB9">
              <w:rPr>
                <w:rFonts w:cs="Arial"/>
                <w:b/>
                <w:bCs/>
                <w:color w:val="339966"/>
                <w:szCs w:val="24"/>
              </w:rPr>
              <w:t>.6 Any activity planning assumptions</w:t>
            </w:r>
            <w:r w:rsidR="00E94A4D" w:rsidRPr="00F21AB9">
              <w:rPr>
                <w:rFonts w:eastAsia="MS ??" w:cs="Arial"/>
                <w:bCs/>
                <w:szCs w:val="24"/>
              </w:rPr>
              <w:t xml:space="preserve"> </w:t>
            </w:r>
          </w:p>
          <w:p w14:paraId="6CE63A05" w14:textId="77777777" w:rsidR="006E4F75" w:rsidRPr="00F21AB9" w:rsidRDefault="006E4F75" w:rsidP="006E4F75">
            <w:pPr>
              <w:rPr>
                <w:rFonts w:eastAsia="MS ??" w:cs="Arial"/>
                <w:bCs/>
                <w:szCs w:val="24"/>
              </w:rPr>
            </w:pPr>
          </w:p>
          <w:p w14:paraId="574CB206" w14:textId="2D57EE54" w:rsidR="00685592" w:rsidRPr="00F21AB9" w:rsidRDefault="00D06B2F" w:rsidP="000B011F">
            <w:pPr>
              <w:rPr>
                <w:rFonts w:eastAsia="MS ??" w:cs="Arial"/>
                <w:bCs/>
                <w:szCs w:val="24"/>
              </w:rPr>
            </w:pPr>
            <w:r w:rsidRPr="00F21AB9">
              <w:rPr>
                <w:rFonts w:eastAsia="MS ??" w:cs="Arial"/>
                <w:bCs/>
                <w:szCs w:val="24"/>
              </w:rPr>
              <w:t>T</w:t>
            </w:r>
            <w:r w:rsidR="007914E0" w:rsidRPr="00F21AB9">
              <w:rPr>
                <w:rFonts w:eastAsia="MS ??" w:cs="Arial"/>
                <w:bCs/>
                <w:szCs w:val="24"/>
              </w:rPr>
              <w:t>he service</w:t>
            </w:r>
            <w:r w:rsidR="00B80DD1" w:rsidRPr="00F21AB9">
              <w:rPr>
                <w:rFonts w:eastAsia="MS ??" w:cs="Arial"/>
                <w:bCs/>
                <w:szCs w:val="24"/>
              </w:rPr>
              <w:t xml:space="preserve"> should be available </w:t>
            </w:r>
            <w:r w:rsidR="00685592" w:rsidRPr="00F21AB9">
              <w:rPr>
                <w:rFonts w:eastAsia="MS ??" w:cs="Arial"/>
                <w:bCs/>
                <w:szCs w:val="24"/>
              </w:rPr>
              <w:t>during the pharmacy opening hours</w:t>
            </w:r>
            <w:r w:rsidR="00B80DD1" w:rsidRPr="00F21AB9">
              <w:rPr>
                <w:rFonts w:eastAsia="MS ??" w:cs="Arial"/>
                <w:bCs/>
                <w:szCs w:val="24"/>
              </w:rPr>
              <w:t xml:space="preserve"> </w:t>
            </w:r>
            <w:r w:rsidR="00685592" w:rsidRPr="00F21AB9">
              <w:rPr>
                <w:rFonts w:eastAsia="MS ??" w:cs="Arial"/>
                <w:bCs/>
                <w:szCs w:val="24"/>
              </w:rPr>
              <w:t>when a pharmacist is legally allowed to prescribe</w:t>
            </w:r>
            <w:r w:rsidR="00B80DD1" w:rsidRPr="00F21AB9">
              <w:rPr>
                <w:rFonts w:eastAsia="MS ??" w:cs="Arial"/>
                <w:bCs/>
                <w:szCs w:val="24"/>
              </w:rPr>
              <w:t>.</w:t>
            </w:r>
          </w:p>
          <w:p w14:paraId="6496771D" w14:textId="44E22D09" w:rsidR="00685592" w:rsidRPr="00F21AB9" w:rsidRDefault="00685592" w:rsidP="000B011F">
            <w:pPr>
              <w:rPr>
                <w:rFonts w:eastAsia="MS ??" w:cs="Arial"/>
                <w:bCs/>
                <w:szCs w:val="24"/>
              </w:rPr>
            </w:pPr>
            <w:r w:rsidRPr="00F21AB9">
              <w:rPr>
                <w:rFonts w:eastAsia="MS ??" w:cs="Arial"/>
                <w:bCs/>
                <w:szCs w:val="24"/>
              </w:rPr>
              <w:t>North Somerset has an average of 30 young females presenting for EHC per month across the area, including out of area.</w:t>
            </w:r>
          </w:p>
          <w:p w14:paraId="28F99D44" w14:textId="133506B7" w:rsidR="00E94A4D" w:rsidRPr="00F21AB9" w:rsidRDefault="007914E0" w:rsidP="00795480">
            <w:pPr>
              <w:rPr>
                <w:rFonts w:cs="Arial"/>
                <w:bCs/>
                <w:szCs w:val="24"/>
              </w:rPr>
            </w:pPr>
            <w:r w:rsidRPr="00F21AB9">
              <w:rPr>
                <w:rFonts w:eastAsia="MS ??" w:cs="Arial"/>
                <w:bCs/>
                <w:szCs w:val="24"/>
              </w:rPr>
              <w:t xml:space="preserve"> </w:t>
            </w:r>
          </w:p>
        </w:tc>
      </w:tr>
      <w:tr w:rsidR="00E94A4D" w:rsidRPr="00F21AB9" w14:paraId="5600BEE4" w14:textId="77777777" w:rsidTr="007D01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2" w:type="dxa"/>
        </w:trPr>
        <w:tc>
          <w:tcPr>
            <w:tcW w:w="9016" w:type="dxa"/>
            <w:gridSpan w:val="2"/>
            <w:tcBorders>
              <w:top w:val="single" w:sz="4" w:space="0" w:color="999999"/>
              <w:left w:val="single" w:sz="4" w:space="0" w:color="999999"/>
              <w:bottom w:val="single" w:sz="4" w:space="0" w:color="999999"/>
              <w:right w:val="single" w:sz="4" w:space="0" w:color="999999"/>
            </w:tcBorders>
            <w:shd w:val="clear" w:color="auto" w:fill="666666"/>
          </w:tcPr>
          <w:p w14:paraId="74E7786B" w14:textId="77777777" w:rsidR="00E94A4D" w:rsidRPr="00F21AB9" w:rsidRDefault="00E94A4D" w:rsidP="000B011F">
            <w:pPr>
              <w:pStyle w:val="BodyText"/>
              <w:jc w:val="both"/>
              <w:rPr>
                <w:color w:val="FFFFFF"/>
                <w:sz w:val="24"/>
                <w:szCs w:val="24"/>
              </w:rPr>
            </w:pPr>
          </w:p>
          <w:p w14:paraId="6F038785" w14:textId="67C0CE4D" w:rsidR="00E94A4D" w:rsidRPr="00F21AB9" w:rsidRDefault="00310AB3" w:rsidP="000B011F">
            <w:pPr>
              <w:pStyle w:val="BodyText"/>
              <w:jc w:val="both"/>
              <w:rPr>
                <w:color w:val="FFFF00"/>
                <w:sz w:val="24"/>
                <w:szCs w:val="24"/>
              </w:rPr>
            </w:pPr>
            <w:r w:rsidRPr="00F21AB9">
              <w:rPr>
                <w:color w:val="FFFF00"/>
                <w:sz w:val="24"/>
                <w:szCs w:val="24"/>
              </w:rPr>
              <w:t>3</w:t>
            </w:r>
            <w:r w:rsidR="00E94A4D" w:rsidRPr="00F21AB9">
              <w:rPr>
                <w:color w:val="FFFF00"/>
                <w:sz w:val="24"/>
                <w:szCs w:val="24"/>
              </w:rPr>
              <w:t>. Applicable Service Standards</w:t>
            </w:r>
            <w:r w:rsidR="00E94A4D" w:rsidRPr="00F21AB9" w:rsidDel="00090017">
              <w:rPr>
                <w:color w:val="FFFF00"/>
                <w:sz w:val="24"/>
                <w:szCs w:val="24"/>
              </w:rPr>
              <w:t xml:space="preserve"> </w:t>
            </w:r>
            <w:r w:rsidR="00DD1092" w:rsidRPr="00F21AB9">
              <w:rPr>
                <w:color w:val="FFFF00"/>
                <w:sz w:val="24"/>
                <w:szCs w:val="24"/>
              </w:rPr>
              <w:t>&amp; Clinical Governance Requirements</w:t>
            </w:r>
          </w:p>
          <w:p w14:paraId="7572F3D2" w14:textId="77777777" w:rsidR="00E94A4D" w:rsidRPr="00F21AB9" w:rsidRDefault="00E94A4D" w:rsidP="000B011F">
            <w:pPr>
              <w:pStyle w:val="BodyText"/>
              <w:jc w:val="both"/>
              <w:rPr>
                <w:color w:val="FFFFFF"/>
                <w:sz w:val="24"/>
                <w:szCs w:val="24"/>
              </w:rPr>
            </w:pPr>
          </w:p>
        </w:tc>
      </w:tr>
      <w:tr w:rsidR="00E94A4D" w:rsidRPr="00F21AB9" w14:paraId="02D7EE8A" w14:textId="77777777" w:rsidTr="007D01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2" w:type="dxa"/>
          <w:trHeight w:val="841"/>
        </w:trPr>
        <w:tc>
          <w:tcPr>
            <w:tcW w:w="9016" w:type="dxa"/>
            <w:gridSpan w:val="2"/>
            <w:tcBorders>
              <w:top w:val="single" w:sz="4" w:space="0" w:color="999999"/>
              <w:left w:val="single" w:sz="4" w:space="0" w:color="999999"/>
              <w:bottom w:val="single" w:sz="4" w:space="0" w:color="999999"/>
              <w:right w:val="single" w:sz="4" w:space="0" w:color="999999"/>
            </w:tcBorders>
          </w:tcPr>
          <w:p w14:paraId="0A28232C" w14:textId="77777777" w:rsidR="00600488" w:rsidRPr="00F21AB9" w:rsidRDefault="00600488" w:rsidP="00AE4254">
            <w:pPr>
              <w:pStyle w:val="BodyText"/>
              <w:rPr>
                <w:bCs/>
                <w:color w:val="339966"/>
                <w:sz w:val="24"/>
                <w:szCs w:val="24"/>
              </w:rPr>
            </w:pPr>
          </w:p>
          <w:p w14:paraId="4C9C7D8C" w14:textId="16BCE56A" w:rsidR="00E94A4D" w:rsidRPr="00F21AB9" w:rsidRDefault="00310AB3" w:rsidP="00AE4254">
            <w:pPr>
              <w:pStyle w:val="BodyText"/>
              <w:rPr>
                <w:bCs/>
                <w:color w:val="339966"/>
                <w:sz w:val="24"/>
                <w:szCs w:val="24"/>
              </w:rPr>
            </w:pPr>
            <w:r w:rsidRPr="00F21AB9">
              <w:rPr>
                <w:bCs/>
                <w:color w:val="339966"/>
                <w:sz w:val="24"/>
                <w:szCs w:val="24"/>
              </w:rPr>
              <w:t>3</w:t>
            </w:r>
            <w:r w:rsidR="00E94A4D" w:rsidRPr="00F21AB9">
              <w:rPr>
                <w:bCs/>
                <w:color w:val="339966"/>
                <w:sz w:val="24"/>
                <w:szCs w:val="24"/>
              </w:rPr>
              <w:t xml:space="preserve">.1 </w:t>
            </w:r>
            <w:r w:rsidR="00AE4254" w:rsidRPr="00F21AB9">
              <w:rPr>
                <w:rFonts w:eastAsia="Times New Roman"/>
                <w:bCs/>
                <w:color w:val="339966"/>
                <w:sz w:val="24"/>
                <w:szCs w:val="24"/>
              </w:rPr>
              <w:t>Clinical Effectiveness &amp; Research-</w:t>
            </w:r>
            <w:r w:rsidR="00E94A4D" w:rsidRPr="00F21AB9">
              <w:rPr>
                <w:bCs/>
                <w:color w:val="339966"/>
                <w:sz w:val="24"/>
                <w:szCs w:val="24"/>
              </w:rPr>
              <w:t xml:space="preserve">Applicable national </w:t>
            </w:r>
            <w:r w:rsidR="00F11BD2" w:rsidRPr="00F21AB9">
              <w:rPr>
                <w:bCs/>
                <w:color w:val="339966"/>
                <w:sz w:val="24"/>
                <w:szCs w:val="24"/>
              </w:rPr>
              <w:t xml:space="preserve">&amp; local </w:t>
            </w:r>
            <w:r w:rsidR="00E94A4D" w:rsidRPr="00F21AB9">
              <w:rPr>
                <w:bCs/>
                <w:color w:val="339966"/>
                <w:sz w:val="24"/>
                <w:szCs w:val="24"/>
              </w:rPr>
              <w:t xml:space="preserve">standards </w:t>
            </w:r>
            <w:r w:rsidR="00413064" w:rsidRPr="00F21AB9">
              <w:rPr>
                <w:bCs/>
                <w:color w:val="339966"/>
                <w:sz w:val="24"/>
                <w:szCs w:val="24"/>
              </w:rPr>
              <w:t>e.g.</w:t>
            </w:r>
            <w:r w:rsidR="00E94A4D" w:rsidRPr="00F21AB9">
              <w:rPr>
                <w:bCs/>
                <w:color w:val="339966"/>
                <w:sz w:val="24"/>
                <w:szCs w:val="24"/>
              </w:rPr>
              <w:t xml:space="preserve"> </w:t>
            </w:r>
            <w:smartTag w:uri="urn:schemas-microsoft-com:office:smarttags" w:element="stockticker">
              <w:r w:rsidR="00E94A4D" w:rsidRPr="00F21AB9">
                <w:rPr>
                  <w:bCs/>
                  <w:color w:val="339966"/>
                  <w:sz w:val="24"/>
                  <w:szCs w:val="24"/>
                </w:rPr>
                <w:t>NICE</w:t>
              </w:r>
            </w:smartTag>
          </w:p>
          <w:p w14:paraId="7107AB8E" w14:textId="77777777" w:rsidR="00685592" w:rsidRPr="00F21AB9" w:rsidRDefault="00685592" w:rsidP="00060594">
            <w:pPr>
              <w:pStyle w:val="BodyText"/>
              <w:numPr>
                <w:ilvl w:val="0"/>
                <w:numId w:val="31"/>
              </w:numPr>
              <w:rPr>
                <w:bCs/>
                <w:sz w:val="24"/>
                <w:szCs w:val="24"/>
              </w:rPr>
            </w:pPr>
            <w:r w:rsidRPr="00F21AB9">
              <w:rPr>
                <w:bCs/>
                <w:sz w:val="24"/>
                <w:szCs w:val="24"/>
              </w:rPr>
              <w:t xml:space="preserve">Sexually transmitted infections and under 18 conceptions: prevention (NICE PH3) </w:t>
            </w:r>
            <w:hyperlink r:id="rId10" w:history="1">
              <w:r w:rsidRPr="00F21AB9">
                <w:rPr>
                  <w:rStyle w:val="Hyperlink"/>
                  <w:bCs/>
                  <w:sz w:val="24"/>
                  <w:szCs w:val="24"/>
                </w:rPr>
                <w:t>https://pathways.nice.org.uk/pathways/preventing-sexually-transmitted-infections-and-under-18-conceptions</w:t>
              </w:r>
            </w:hyperlink>
            <w:r w:rsidRPr="00F21AB9">
              <w:rPr>
                <w:bCs/>
                <w:sz w:val="24"/>
                <w:szCs w:val="24"/>
              </w:rPr>
              <w:t xml:space="preserve"> </w:t>
            </w:r>
          </w:p>
          <w:p w14:paraId="4E4D588D" w14:textId="77777777" w:rsidR="00685592" w:rsidRPr="00F21AB9" w:rsidRDefault="00685592" w:rsidP="00060594">
            <w:pPr>
              <w:pStyle w:val="BodyText"/>
              <w:numPr>
                <w:ilvl w:val="0"/>
                <w:numId w:val="31"/>
              </w:numPr>
              <w:rPr>
                <w:bCs/>
                <w:sz w:val="24"/>
                <w:szCs w:val="24"/>
              </w:rPr>
            </w:pPr>
            <w:r w:rsidRPr="00F21AB9">
              <w:rPr>
                <w:bCs/>
                <w:sz w:val="24"/>
                <w:szCs w:val="24"/>
              </w:rPr>
              <w:t>Contraceptive services for under 25s (PH51)</w:t>
            </w:r>
          </w:p>
          <w:p w14:paraId="084AFDB5" w14:textId="2330CDE6" w:rsidR="00685592" w:rsidRPr="00F21AB9" w:rsidRDefault="00685592" w:rsidP="00060594">
            <w:pPr>
              <w:pStyle w:val="BodyText"/>
              <w:numPr>
                <w:ilvl w:val="0"/>
                <w:numId w:val="31"/>
              </w:numPr>
              <w:rPr>
                <w:bCs/>
                <w:sz w:val="24"/>
                <w:szCs w:val="24"/>
              </w:rPr>
            </w:pPr>
            <w:r w:rsidRPr="00F21AB9">
              <w:rPr>
                <w:bCs/>
                <w:sz w:val="24"/>
                <w:szCs w:val="24"/>
              </w:rPr>
              <w:lastRenderedPageBreak/>
              <w:t xml:space="preserve">BASHH CEG guidance on tests for </w:t>
            </w:r>
            <w:r w:rsidRPr="00F21AB9">
              <w:rPr>
                <w:rFonts w:eastAsiaTheme="minorHAnsi"/>
                <w:bCs/>
                <w:sz w:val="24"/>
                <w:szCs w:val="24"/>
              </w:rPr>
              <w:t>Sexually Transmitted Infections</w:t>
            </w:r>
            <w:r w:rsidRPr="00F21AB9">
              <w:rPr>
                <w:bCs/>
                <w:sz w:val="24"/>
                <w:szCs w:val="24"/>
              </w:rPr>
              <w:t xml:space="preserve"> 2015 </w:t>
            </w:r>
            <w:hyperlink r:id="rId11" w:history="1">
              <w:r w:rsidRPr="00F21AB9">
                <w:rPr>
                  <w:rStyle w:val="Hyperlink"/>
                  <w:bCs/>
                  <w:sz w:val="24"/>
                  <w:szCs w:val="24"/>
                </w:rPr>
                <w:t>https://www.bashhguidelines.org/media/1084/sti-testing-tables-2015-dec-update-4.pdf</w:t>
              </w:r>
            </w:hyperlink>
            <w:r w:rsidRPr="00F21AB9">
              <w:rPr>
                <w:bCs/>
                <w:sz w:val="24"/>
                <w:szCs w:val="24"/>
              </w:rPr>
              <w:t xml:space="preserve"> </w:t>
            </w:r>
          </w:p>
          <w:p w14:paraId="2257AF6C" w14:textId="0DE92149" w:rsidR="005F7A5F" w:rsidRPr="00F21AB9" w:rsidRDefault="005F7A5F" w:rsidP="00060594">
            <w:pPr>
              <w:pStyle w:val="BodyText"/>
              <w:numPr>
                <w:ilvl w:val="0"/>
                <w:numId w:val="31"/>
              </w:numPr>
              <w:rPr>
                <w:bCs/>
                <w:sz w:val="24"/>
                <w:szCs w:val="24"/>
              </w:rPr>
            </w:pPr>
            <w:r w:rsidRPr="00F21AB9">
              <w:rPr>
                <w:bCs/>
                <w:sz w:val="24"/>
                <w:szCs w:val="24"/>
              </w:rPr>
              <w:t>and any relevant updated guidance</w:t>
            </w:r>
          </w:p>
          <w:p w14:paraId="784EE9E6" w14:textId="77777777" w:rsidR="00450A42" w:rsidRPr="00F21AB9" w:rsidRDefault="00450A42" w:rsidP="00450A42">
            <w:pPr>
              <w:pStyle w:val="BodyText"/>
              <w:ind w:left="720"/>
              <w:rPr>
                <w:bCs/>
                <w:color w:val="339966"/>
                <w:sz w:val="24"/>
                <w:szCs w:val="24"/>
              </w:rPr>
            </w:pPr>
          </w:p>
          <w:p w14:paraId="67BBA836" w14:textId="556E01FB" w:rsidR="00AE4254" w:rsidRPr="00F21AB9" w:rsidRDefault="00AE4254" w:rsidP="00450A42">
            <w:pPr>
              <w:pStyle w:val="BodyText"/>
              <w:rPr>
                <w:bCs/>
                <w:color w:val="339966"/>
                <w:sz w:val="24"/>
                <w:szCs w:val="24"/>
              </w:rPr>
            </w:pPr>
            <w:r w:rsidRPr="00F21AB9">
              <w:rPr>
                <w:bCs/>
                <w:color w:val="339966"/>
                <w:sz w:val="24"/>
                <w:szCs w:val="24"/>
              </w:rPr>
              <w:t>3.2 Audit</w:t>
            </w:r>
          </w:p>
          <w:p w14:paraId="5B3DA8D5" w14:textId="07F9B428" w:rsidR="00747AAF" w:rsidRPr="00F21AB9" w:rsidRDefault="00747AAF" w:rsidP="00060594">
            <w:pPr>
              <w:numPr>
                <w:ilvl w:val="0"/>
                <w:numId w:val="31"/>
              </w:numPr>
              <w:suppressAutoHyphens w:val="0"/>
              <w:ind w:right="206"/>
              <w:jc w:val="left"/>
              <w:rPr>
                <w:rFonts w:eastAsia="MS ??" w:cs="Arial"/>
                <w:bCs/>
                <w:szCs w:val="24"/>
              </w:rPr>
            </w:pPr>
            <w:r w:rsidRPr="00F21AB9">
              <w:rPr>
                <w:rFonts w:eastAsia="MS ??" w:cs="Arial"/>
                <w:bCs/>
                <w:szCs w:val="24"/>
              </w:rPr>
              <w:t xml:space="preserve">Providers will take part in </w:t>
            </w:r>
            <w:r w:rsidR="00060594" w:rsidRPr="00F21AB9">
              <w:rPr>
                <w:rFonts w:eastAsia="MS ??" w:cs="Arial"/>
                <w:bCs/>
                <w:szCs w:val="24"/>
              </w:rPr>
              <w:t xml:space="preserve">the </w:t>
            </w:r>
            <w:r w:rsidR="002E6A72">
              <w:rPr>
                <w:rFonts w:eastAsia="MS ??" w:cs="Arial"/>
                <w:bCs/>
                <w:szCs w:val="24"/>
              </w:rPr>
              <w:t>NHS England (NHSE)</w:t>
            </w:r>
            <w:r w:rsidRPr="00F21AB9">
              <w:rPr>
                <w:rFonts w:eastAsia="MS ??" w:cs="Arial"/>
                <w:bCs/>
                <w:szCs w:val="24"/>
              </w:rPr>
              <w:t xml:space="preserve"> annual </w:t>
            </w:r>
            <w:r w:rsidR="00060594" w:rsidRPr="00F21AB9">
              <w:rPr>
                <w:rFonts w:eastAsia="MS ??" w:cs="Arial"/>
                <w:bCs/>
                <w:szCs w:val="24"/>
              </w:rPr>
              <w:t xml:space="preserve">national </w:t>
            </w:r>
            <w:r w:rsidRPr="00F21AB9">
              <w:rPr>
                <w:rFonts w:eastAsia="MS ??" w:cs="Arial"/>
                <w:bCs/>
                <w:szCs w:val="24"/>
              </w:rPr>
              <w:t>audit programme</w:t>
            </w:r>
          </w:p>
          <w:p w14:paraId="0D8CBD61" w14:textId="5A1237F6" w:rsidR="00060594" w:rsidRPr="00F21AB9" w:rsidRDefault="00060594" w:rsidP="00060594">
            <w:pPr>
              <w:numPr>
                <w:ilvl w:val="0"/>
                <w:numId w:val="31"/>
              </w:numPr>
              <w:suppressAutoHyphens w:val="0"/>
              <w:ind w:right="206"/>
              <w:jc w:val="left"/>
              <w:rPr>
                <w:rFonts w:eastAsia="MS ??" w:cs="Arial"/>
                <w:bCs/>
                <w:szCs w:val="24"/>
              </w:rPr>
            </w:pPr>
            <w:bookmarkStart w:id="0" w:name="_Hlk17201370"/>
            <w:r w:rsidRPr="00F21AB9">
              <w:rPr>
                <w:rFonts w:eastAsia="MS ??" w:cs="Arial"/>
                <w:bCs/>
                <w:szCs w:val="24"/>
              </w:rPr>
              <w:t xml:space="preserve">Providers will complete the </w:t>
            </w:r>
            <w:r w:rsidR="00BD0F9D" w:rsidRPr="00F21AB9">
              <w:rPr>
                <w:rFonts w:eastAsia="MS ??" w:cs="Arial"/>
                <w:bCs/>
                <w:szCs w:val="24"/>
              </w:rPr>
              <w:t xml:space="preserve">NHSE </w:t>
            </w:r>
            <w:r w:rsidRPr="00F21AB9">
              <w:rPr>
                <w:rFonts w:eastAsia="MS ??" w:cs="Arial"/>
                <w:bCs/>
                <w:szCs w:val="24"/>
              </w:rPr>
              <w:t>annual Community Pharmacy Assessment Framework (CPAF) screening questionnaire</w:t>
            </w:r>
          </w:p>
          <w:bookmarkEnd w:id="0"/>
          <w:p w14:paraId="1FBFC599" w14:textId="77777777" w:rsidR="00596ECC" w:rsidRPr="00F21AB9" w:rsidRDefault="00596ECC" w:rsidP="00596ECC">
            <w:pPr>
              <w:suppressAutoHyphens w:val="0"/>
              <w:ind w:left="720" w:right="206"/>
              <w:jc w:val="left"/>
              <w:rPr>
                <w:rFonts w:cs="Arial"/>
                <w:bCs/>
                <w:szCs w:val="24"/>
              </w:rPr>
            </w:pPr>
          </w:p>
          <w:p w14:paraId="1EDDC90C" w14:textId="7BD0E72C" w:rsidR="00747AAF" w:rsidRPr="00F21AB9" w:rsidRDefault="00747AAF" w:rsidP="00747AAF">
            <w:pPr>
              <w:pStyle w:val="BodyText"/>
              <w:rPr>
                <w:bCs/>
                <w:color w:val="339966"/>
                <w:sz w:val="24"/>
                <w:szCs w:val="24"/>
              </w:rPr>
            </w:pPr>
            <w:r w:rsidRPr="00F21AB9">
              <w:rPr>
                <w:bCs/>
                <w:color w:val="339966"/>
                <w:sz w:val="24"/>
                <w:szCs w:val="24"/>
              </w:rPr>
              <w:t xml:space="preserve">3.3 Risk Management </w:t>
            </w:r>
          </w:p>
          <w:p w14:paraId="52A736C9" w14:textId="4FC32700" w:rsidR="00747AAF" w:rsidRPr="00F21AB9" w:rsidRDefault="00F66211" w:rsidP="00D35D4E">
            <w:pPr>
              <w:pStyle w:val="BodyText"/>
              <w:numPr>
                <w:ilvl w:val="0"/>
                <w:numId w:val="31"/>
              </w:numPr>
              <w:rPr>
                <w:rFonts w:eastAsia="Times New Roman"/>
                <w:bCs/>
                <w:sz w:val="24"/>
                <w:szCs w:val="24"/>
              </w:rPr>
            </w:pPr>
            <w:r w:rsidRPr="00F21AB9">
              <w:rPr>
                <w:rFonts w:eastAsia="Times New Roman"/>
                <w:bCs/>
                <w:sz w:val="24"/>
                <w:szCs w:val="24"/>
              </w:rPr>
              <w:t>Providers must comply with latest Infection Prevention Control Guidance</w:t>
            </w:r>
            <w:r w:rsidR="00BD0F9D" w:rsidRPr="00F21AB9">
              <w:rPr>
                <w:rFonts w:eastAsia="Times New Roman"/>
                <w:bCs/>
                <w:sz w:val="24"/>
                <w:szCs w:val="24"/>
              </w:rPr>
              <w:t xml:space="preserve"> </w:t>
            </w:r>
          </w:p>
          <w:p w14:paraId="439CF5C3" w14:textId="57CFF8CA" w:rsidR="00B53D8A" w:rsidRPr="00F21AB9" w:rsidRDefault="00EA7CBB" w:rsidP="00060594">
            <w:pPr>
              <w:pStyle w:val="BodyText"/>
              <w:numPr>
                <w:ilvl w:val="0"/>
                <w:numId w:val="31"/>
              </w:numPr>
              <w:rPr>
                <w:rFonts w:eastAsia="Times New Roman"/>
                <w:bCs/>
                <w:sz w:val="24"/>
                <w:szCs w:val="24"/>
              </w:rPr>
            </w:pPr>
            <w:r w:rsidRPr="00F21AB9">
              <w:rPr>
                <w:rFonts w:eastAsia="Times New Roman"/>
                <w:bCs/>
                <w:sz w:val="24"/>
                <w:szCs w:val="24"/>
              </w:rPr>
              <w:t xml:space="preserve">Any serious </w:t>
            </w:r>
            <w:r w:rsidR="004F2DC0" w:rsidRPr="00F21AB9">
              <w:rPr>
                <w:rFonts w:eastAsia="Times New Roman"/>
                <w:bCs/>
                <w:sz w:val="24"/>
                <w:szCs w:val="24"/>
              </w:rPr>
              <w:t xml:space="preserve">incidents </w:t>
            </w:r>
            <w:r w:rsidR="00596ECC" w:rsidRPr="00F21AB9">
              <w:rPr>
                <w:rFonts w:eastAsia="Times New Roman"/>
                <w:bCs/>
                <w:sz w:val="24"/>
                <w:szCs w:val="24"/>
              </w:rPr>
              <w:t xml:space="preserve">need to be reported in accordance with the </w:t>
            </w:r>
            <w:r w:rsidR="001F78AD" w:rsidRPr="00F21AB9">
              <w:rPr>
                <w:rFonts w:eastAsia="Times New Roman"/>
                <w:bCs/>
                <w:sz w:val="24"/>
                <w:szCs w:val="24"/>
              </w:rPr>
              <w:t xml:space="preserve">providers </w:t>
            </w:r>
            <w:r w:rsidR="00596ECC" w:rsidRPr="00F21AB9">
              <w:rPr>
                <w:rFonts w:eastAsia="Times New Roman"/>
                <w:bCs/>
                <w:sz w:val="24"/>
                <w:szCs w:val="24"/>
              </w:rPr>
              <w:t>local incident reporting policy</w:t>
            </w:r>
            <w:r w:rsidR="004F2DC0" w:rsidRPr="00F21AB9">
              <w:rPr>
                <w:rFonts w:eastAsia="Times New Roman"/>
                <w:bCs/>
                <w:sz w:val="24"/>
                <w:szCs w:val="24"/>
              </w:rPr>
              <w:t xml:space="preserve"> and NHSE reporting requirements. </w:t>
            </w:r>
            <w:hyperlink r:id="rId12" w:history="1">
              <w:r w:rsidR="004905CA" w:rsidRPr="00FC4F85">
                <w:rPr>
                  <w:rStyle w:val="Hyperlink"/>
                  <w:rFonts w:eastAsia="Times New Roman"/>
                  <w:bCs/>
                  <w:sz w:val="24"/>
                  <w:szCs w:val="24"/>
                </w:rPr>
                <w:t>https://improvement.nhs.uk/resources/learning-from-patient-safety-incidents/</w:t>
              </w:r>
            </w:hyperlink>
            <w:r w:rsidR="004905CA">
              <w:rPr>
                <w:rFonts w:eastAsia="Times New Roman"/>
                <w:bCs/>
                <w:sz w:val="24"/>
                <w:szCs w:val="24"/>
              </w:rPr>
              <w:t xml:space="preserve"> </w:t>
            </w:r>
            <w:r w:rsidR="008606FE" w:rsidRPr="00F21AB9">
              <w:rPr>
                <w:rFonts w:eastAsia="Times New Roman"/>
                <w:bCs/>
                <w:sz w:val="24"/>
                <w:szCs w:val="24"/>
              </w:rPr>
              <w:t xml:space="preserve"> as applicable</w:t>
            </w:r>
            <w:r w:rsidR="00B53D8A" w:rsidRPr="00F21AB9">
              <w:rPr>
                <w:rFonts w:eastAsia="Times New Roman"/>
                <w:bCs/>
                <w:sz w:val="24"/>
                <w:szCs w:val="24"/>
              </w:rPr>
              <w:t xml:space="preserve"> and notified to</w:t>
            </w:r>
            <w:r w:rsidR="005737B0" w:rsidRPr="00F21AB9">
              <w:rPr>
                <w:rFonts w:eastAsia="Times New Roman"/>
                <w:bCs/>
                <w:sz w:val="24"/>
                <w:szCs w:val="24"/>
              </w:rPr>
              <w:t xml:space="preserve"> the commissioner within one </w:t>
            </w:r>
            <w:r w:rsidR="00B53D8A" w:rsidRPr="00F21AB9">
              <w:rPr>
                <w:rFonts w:eastAsia="Times New Roman"/>
                <w:bCs/>
                <w:sz w:val="24"/>
                <w:szCs w:val="24"/>
              </w:rPr>
              <w:t>week</w:t>
            </w:r>
            <w:r w:rsidR="009E53A3" w:rsidRPr="00F21AB9">
              <w:rPr>
                <w:rFonts w:eastAsia="Times New Roman"/>
                <w:bCs/>
                <w:sz w:val="24"/>
                <w:szCs w:val="24"/>
              </w:rPr>
              <w:t>.</w:t>
            </w:r>
            <w:r w:rsidR="00B53D8A" w:rsidRPr="00F21AB9">
              <w:rPr>
                <w:rFonts w:eastAsia="Times New Roman"/>
                <w:bCs/>
                <w:sz w:val="24"/>
                <w:szCs w:val="24"/>
              </w:rPr>
              <w:t xml:space="preserve"> The provider</w:t>
            </w:r>
            <w:r w:rsidR="00826D74" w:rsidRPr="00F21AB9">
              <w:rPr>
                <w:rFonts w:eastAsia="Times New Roman"/>
                <w:bCs/>
                <w:sz w:val="24"/>
                <w:szCs w:val="24"/>
              </w:rPr>
              <w:t xml:space="preserve"> should </w:t>
            </w:r>
            <w:r w:rsidR="00B53D8A" w:rsidRPr="00F21AB9">
              <w:rPr>
                <w:rFonts w:eastAsia="Times New Roman"/>
                <w:bCs/>
                <w:sz w:val="24"/>
                <w:szCs w:val="24"/>
              </w:rPr>
              <w:t xml:space="preserve">also </w:t>
            </w:r>
            <w:r w:rsidR="00826D74" w:rsidRPr="00F21AB9">
              <w:rPr>
                <w:rFonts w:eastAsia="Times New Roman"/>
                <w:bCs/>
                <w:sz w:val="24"/>
                <w:szCs w:val="24"/>
              </w:rPr>
              <w:t xml:space="preserve">provide assurance </w:t>
            </w:r>
            <w:r w:rsidR="0050767F" w:rsidRPr="00F21AB9">
              <w:rPr>
                <w:rFonts w:eastAsia="Times New Roman"/>
                <w:bCs/>
                <w:sz w:val="24"/>
                <w:szCs w:val="24"/>
              </w:rPr>
              <w:t>of actions</w:t>
            </w:r>
            <w:r w:rsidR="00826D74" w:rsidRPr="00F21AB9">
              <w:rPr>
                <w:rFonts w:eastAsia="Times New Roman"/>
                <w:bCs/>
                <w:sz w:val="24"/>
                <w:szCs w:val="24"/>
              </w:rPr>
              <w:t xml:space="preserve"> </w:t>
            </w:r>
            <w:r w:rsidR="00B53D8A" w:rsidRPr="00F21AB9">
              <w:rPr>
                <w:rFonts w:eastAsia="Times New Roman"/>
                <w:bCs/>
                <w:sz w:val="24"/>
                <w:szCs w:val="24"/>
              </w:rPr>
              <w:t>taken and sharing the Lessons Learned.</w:t>
            </w:r>
          </w:p>
          <w:p w14:paraId="40AAF982" w14:textId="77777777" w:rsidR="00AA7CBF" w:rsidRPr="00F21AB9" w:rsidRDefault="00AA7CBF" w:rsidP="00AA7CBF">
            <w:pPr>
              <w:pStyle w:val="BodyText"/>
              <w:numPr>
                <w:ilvl w:val="0"/>
                <w:numId w:val="31"/>
              </w:numPr>
              <w:rPr>
                <w:bCs/>
                <w:sz w:val="24"/>
                <w:szCs w:val="24"/>
              </w:rPr>
            </w:pPr>
            <w:r w:rsidRPr="00F21AB9">
              <w:rPr>
                <w:bCs/>
                <w:sz w:val="24"/>
                <w:szCs w:val="24"/>
              </w:rPr>
              <w:t>Pharmacists should read, understand and sign the latest local sexual health PGD’s (available on the ALPC website). The signed PGDs should be retained and made available for reference in each pharmacy.</w:t>
            </w:r>
          </w:p>
          <w:p w14:paraId="7ECC700E" w14:textId="4E602D56" w:rsidR="00747AAF" w:rsidRPr="00F21AB9" w:rsidRDefault="00747AAF" w:rsidP="00AA7CBF">
            <w:pPr>
              <w:pStyle w:val="BodyText"/>
              <w:ind w:left="720"/>
              <w:rPr>
                <w:bCs/>
                <w:sz w:val="24"/>
                <w:szCs w:val="24"/>
              </w:rPr>
            </w:pPr>
          </w:p>
          <w:p w14:paraId="292C0920" w14:textId="77777777" w:rsidR="00450269" w:rsidRPr="00F21AB9" w:rsidRDefault="00060594" w:rsidP="00450269">
            <w:pPr>
              <w:pStyle w:val="BodyText"/>
              <w:rPr>
                <w:bCs/>
                <w:color w:val="339966"/>
                <w:sz w:val="24"/>
                <w:szCs w:val="24"/>
              </w:rPr>
            </w:pPr>
            <w:r w:rsidRPr="00F21AB9">
              <w:rPr>
                <w:bCs/>
                <w:color w:val="339966"/>
                <w:sz w:val="24"/>
                <w:szCs w:val="24"/>
              </w:rPr>
              <w:t xml:space="preserve">3.4 </w:t>
            </w:r>
            <w:r w:rsidR="00450269" w:rsidRPr="00F21AB9">
              <w:rPr>
                <w:bCs/>
                <w:color w:val="339966"/>
                <w:sz w:val="24"/>
                <w:szCs w:val="24"/>
              </w:rPr>
              <w:t>Education and Training</w:t>
            </w:r>
          </w:p>
          <w:p w14:paraId="1966D171" w14:textId="5DB6AE78" w:rsidR="00450269" w:rsidRDefault="00450269" w:rsidP="00450269">
            <w:pPr>
              <w:pStyle w:val="BodyText"/>
              <w:numPr>
                <w:ilvl w:val="0"/>
                <w:numId w:val="31"/>
              </w:numPr>
              <w:rPr>
                <w:sz w:val="24"/>
                <w:szCs w:val="24"/>
              </w:rPr>
            </w:pPr>
            <w:r w:rsidRPr="00F21AB9">
              <w:rPr>
                <w:sz w:val="24"/>
                <w:szCs w:val="24"/>
              </w:rPr>
              <w:t xml:space="preserve">Pharmacists participating in this service specification must </w:t>
            </w:r>
            <w:r w:rsidR="006F06FC">
              <w:rPr>
                <w:sz w:val="24"/>
                <w:szCs w:val="24"/>
              </w:rPr>
              <w:t xml:space="preserve">enrol on the service via PharmOutcomes and complete the </w:t>
            </w:r>
            <w:r w:rsidR="006F06FC" w:rsidRPr="00F21AB9">
              <w:rPr>
                <w:sz w:val="24"/>
                <w:szCs w:val="24"/>
              </w:rPr>
              <w:t>Declaration of Competence</w:t>
            </w:r>
            <w:r w:rsidR="006F06FC">
              <w:rPr>
                <w:sz w:val="24"/>
                <w:szCs w:val="24"/>
              </w:rPr>
              <w:t xml:space="preserve"> criteria listed. Relevant</w:t>
            </w:r>
            <w:r w:rsidRPr="00F21AB9">
              <w:rPr>
                <w:sz w:val="24"/>
                <w:szCs w:val="24"/>
              </w:rPr>
              <w:t xml:space="preserve"> evidence</w:t>
            </w:r>
            <w:r w:rsidR="006F06FC">
              <w:rPr>
                <w:sz w:val="24"/>
                <w:szCs w:val="24"/>
              </w:rPr>
              <w:t xml:space="preserve"> must be provided</w:t>
            </w:r>
            <w:r w:rsidRPr="00F21AB9">
              <w:rPr>
                <w:sz w:val="24"/>
                <w:szCs w:val="24"/>
              </w:rPr>
              <w:t xml:space="preserve"> using the system on Pharm Outcomes. </w:t>
            </w:r>
          </w:p>
          <w:p w14:paraId="4CCE53FC" w14:textId="77777777" w:rsidR="006F06FC" w:rsidRDefault="006F06FC" w:rsidP="006F06FC">
            <w:pPr>
              <w:pStyle w:val="BodyText"/>
              <w:ind w:left="720"/>
              <w:rPr>
                <w:sz w:val="24"/>
                <w:szCs w:val="24"/>
              </w:rPr>
            </w:pPr>
          </w:p>
          <w:p w14:paraId="4F6E8080" w14:textId="0E3652EB" w:rsidR="006F06FC" w:rsidRDefault="006F06FC" w:rsidP="00450269">
            <w:pPr>
              <w:pStyle w:val="BodyText"/>
              <w:numPr>
                <w:ilvl w:val="0"/>
                <w:numId w:val="31"/>
              </w:numPr>
              <w:rPr>
                <w:sz w:val="24"/>
                <w:szCs w:val="24"/>
              </w:rPr>
            </w:pPr>
            <w:r w:rsidRPr="006F06FC">
              <w:rPr>
                <w:sz w:val="24"/>
                <w:szCs w:val="24"/>
              </w:rPr>
              <w:t>Pharmacists can initially enrol on the service via PharmOutcomes without having completed the Declaration of Competence criteria as listed on PharmOutcomes. From the day of enrolment, they will have 90 days to complete the outstanding requirements. If the outstanding requirements are not completed within 90 days, the pharmacist will be unable to provide the service, or the pharmacy be paid for it, until such a time as these outstanding requirements are met</w:t>
            </w:r>
            <w:r>
              <w:rPr>
                <w:sz w:val="24"/>
                <w:szCs w:val="24"/>
              </w:rPr>
              <w:t>.</w:t>
            </w:r>
          </w:p>
          <w:p w14:paraId="0BBAE0E7" w14:textId="77777777" w:rsidR="006F06FC" w:rsidRPr="006F06FC" w:rsidRDefault="006F06FC" w:rsidP="006F06FC">
            <w:pPr>
              <w:pStyle w:val="BodyText"/>
              <w:ind w:left="720"/>
              <w:rPr>
                <w:sz w:val="24"/>
                <w:szCs w:val="24"/>
              </w:rPr>
            </w:pPr>
          </w:p>
          <w:p w14:paraId="24A757D4" w14:textId="1A711BDE" w:rsidR="00450269" w:rsidRPr="00F21AB9" w:rsidRDefault="00450269" w:rsidP="00450269">
            <w:pPr>
              <w:pStyle w:val="BodyText"/>
              <w:numPr>
                <w:ilvl w:val="0"/>
                <w:numId w:val="31"/>
              </w:numPr>
              <w:rPr>
                <w:sz w:val="24"/>
                <w:szCs w:val="24"/>
              </w:rPr>
            </w:pPr>
            <w:r w:rsidRPr="00F21AB9">
              <w:rPr>
                <w:bCs/>
                <w:sz w:val="24"/>
                <w:szCs w:val="24"/>
              </w:rPr>
              <w:t>P</w:t>
            </w:r>
            <w:r w:rsidRPr="00F21AB9">
              <w:rPr>
                <w:sz w:val="24"/>
                <w:szCs w:val="24"/>
              </w:rPr>
              <w:t>harmacists should review the self-declaration form at least every 3 years or, earlier if the Pharmacists feels his/her competence levels have declined due to undertaking too few consultations.</w:t>
            </w:r>
          </w:p>
          <w:p w14:paraId="0046E480" w14:textId="5A467558" w:rsidR="00450269" w:rsidRPr="00F21AB9" w:rsidRDefault="00450269" w:rsidP="00101355">
            <w:pPr>
              <w:pStyle w:val="BodyText"/>
              <w:ind w:left="720"/>
              <w:rPr>
                <w:sz w:val="24"/>
                <w:szCs w:val="24"/>
              </w:rPr>
            </w:pPr>
          </w:p>
          <w:p w14:paraId="42679481" w14:textId="77777777" w:rsidR="00450269" w:rsidRPr="00F21AB9" w:rsidRDefault="006D1765" w:rsidP="00450269">
            <w:pPr>
              <w:pStyle w:val="BodyText"/>
              <w:rPr>
                <w:bCs/>
                <w:color w:val="339966"/>
                <w:sz w:val="24"/>
                <w:szCs w:val="24"/>
              </w:rPr>
            </w:pPr>
            <w:r w:rsidRPr="00F21AB9">
              <w:rPr>
                <w:bCs/>
                <w:color w:val="339966"/>
                <w:sz w:val="24"/>
                <w:szCs w:val="24"/>
              </w:rPr>
              <w:t xml:space="preserve">3.5 </w:t>
            </w:r>
            <w:r w:rsidR="00450269" w:rsidRPr="00F21AB9">
              <w:rPr>
                <w:bCs/>
                <w:color w:val="339966"/>
                <w:sz w:val="24"/>
                <w:szCs w:val="24"/>
              </w:rPr>
              <w:t xml:space="preserve">Patient and Public Involvement (PPI) </w:t>
            </w:r>
          </w:p>
          <w:p w14:paraId="1AB8E751" w14:textId="5C1085F0" w:rsidR="00450269" w:rsidRPr="00F21AB9" w:rsidRDefault="00450269" w:rsidP="00450269">
            <w:pPr>
              <w:pStyle w:val="BodyText"/>
              <w:numPr>
                <w:ilvl w:val="0"/>
                <w:numId w:val="35"/>
              </w:numPr>
              <w:rPr>
                <w:bCs/>
                <w:sz w:val="24"/>
                <w:szCs w:val="24"/>
              </w:rPr>
            </w:pPr>
            <w:r w:rsidRPr="00F21AB9">
              <w:rPr>
                <w:bCs/>
                <w:sz w:val="24"/>
                <w:szCs w:val="24"/>
              </w:rPr>
              <w:t>Provider</w:t>
            </w:r>
            <w:r w:rsidR="00101355">
              <w:rPr>
                <w:bCs/>
                <w:sz w:val="24"/>
                <w:szCs w:val="24"/>
              </w:rPr>
              <w:t>s</w:t>
            </w:r>
            <w:r w:rsidRPr="00F21AB9">
              <w:rPr>
                <w:bCs/>
                <w:sz w:val="24"/>
                <w:szCs w:val="24"/>
              </w:rPr>
              <w:t xml:space="preserve"> will complete the</w:t>
            </w:r>
            <w:r w:rsidR="00B40357">
              <w:rPr>
                <w:bCs/>
                <w:sz w:val="24"/>
                <w:szCs w:val="24"/>
              </w:rPr>
              <w:t xml:space="preserve"> NHSE</w:t>
            </w:r>
            <w:r w:rsidRPr="00F21AB9">
              <w:rPr>
                <w:bCs/>
                <w:sz w:val="24"/>
                <w:szCs w:val="24"/>
              </w:rPr>
              <w:t xml:space="preserve"> annual </w:t>
            </w:r>
            <w:r w:rsidR="00AB3BE4" w:rsidRPr="00F21AB9">
              <w:rPr>
                <w:bCs/>
                <w:sz w:val="24"/>
                <w:szCs w:val="24"/>
              </w:rPr>
              <w:t>Community Pharmacy Patient Questionnaire (CPPQ)</w:t>
            </w:r>
            <w:r w:rsidRPr="00F21AB9">
              <w:rPr>
                <w:bCs/>
                <w:sz w:val="24"/>
                <w:szCs w:val="24"/>
              </w:rPr>
              <w:t xml:space="preserve"> and review feedback</w:t>
            </w:r>
            <w:r w:rsidR="00F857C4" w:rsidRPr="00F21AB9">
              <w:rPr>
                <w:rFonts w:eastAsiaTheme="minorHAnsi"/>
                <w:sz w:val="24"/>
                <w:szCs w:val="24"/>
              </w:rPr>
              <w:t xml:space="preserve"> </w:t>
            </w:r>
            <w:r w:rsidR="00F857C4" w:rsidRPr="00F21AB9">
              <w:rPr>
                <w:bCs/>
                <w:sz w:val="24"/>
                <w:szCs w:val="24"/>
              </w:rPr>
              <w:t xml:space="preserve">to evaluate public health commissioned services </w:t>
            </w:r>
            <w:r w:rsidR="0024389E" w:rsidRPr="00F21AB9">
              <w:rPr>
                <w:bCs/>
                <w:sz w:val="24"/>
                <w:szCs w:val="24"/>
              </w:rPr>
              <w:t xml:space="preserve">where appropriate </w:t>
            </w:r>
            <w:r w:rsidR="00F857C4" w:rsidRPr="00F21AB9">
              <w:rPr>
                <w:bCs/>
                <w:sz w:val="24"/>
                <w:szCs w:val="24"/>
              </w:rPr>
              <w:t>and use this information to support service improvement</w:t>
            </w:r>
            <w:r w:rsidR="00AB3BE4" w:rsidRPr="00F21AB9">
              <w:rPr>
                <w:bCs/>
                <w:sz w:val="24"/>
                <w:szCs w:val="24"/>
              </w:rPr>
              <w:t>.</w:t>
            </w:r>
            <w:r w:rsidR="00F857C4" w:rsidRPr="00F21AB9">
              <w:rPr>
                <w:bCs/>
                <w:sz w:val="24"/>
                <w:szCs w:val="24"/>
              </w:rPr>
              <w:t xml:space="preserve"> </w:t>
            </w:r>
          </w:p>
          <w:p w14:paraId="2B8C2A5E" w14:textId="5BBB14E4" w:rsidR="00AB3BE4" w:rsidRPr="00F21AB9" w:rsidRDefault="00AB3BE4" w:rsidP="00AB3BE4">
            <w:pPr>
              <w:pStyle w:val="ListParagraph"/>
              <w:numPr>
                <w:ilvl w:val="0"/>
                <w:numId w:val="35"/>
              </w:numPr>
              <w:rPr>
                <w:rFonts w:cs="Arial"/>
                <w:bCs/>
                <w:szCs w:val="24"/>
              </w:rPr>
            </w:pPr>
            <w:r w:rsidRPr="00F21AB9">
              <w:rPr>
                <w:rFonts w:cs="Arial"/>
                <w:bCs/>
                <w:szCs w:val="24"/>
              </w:rPr>
              <w:t xml:space="preserve">The pharmacy co-operates with any locally agreed North Somerset </w:t>
            </w:r>
            <w:r w:rsidR="00575801">
              <w:rPr>
                <w:rFonts w:cs="Arial"/>
                <w:bCs/>
                <w:szCs w:val="24"/>
              </w:rPr>
              <w:t>l</w:t>
            </w:r>
            <w:r w:rsidRPr="00F21AB9">
              <w:rPr>
                <w:rFonts w:cs="Arial"/>
                <w:bCs/>
                <w:szCs w:val="24"/>
              </w:rPr>
              <w:t>ed assessment of service user experience. This includes being willing to participate in periodic ‘mystery shopping’ exercises to monitor quality.</w:t>
            </w:r>
          </w:p>
          <w:p w14:paraId="59CAC606" w14:textId="77777777" w:rsidR="00AE4254" w:rsidRPr="00F21AB9" w:rsidRDefault="00AE4254" w:rsidP="00AE4254">
            <w:pPr>
              <w:pStyle w:val="BodyText"/>
              <w:rPr>
                <w:bCs/>
                <w:sz w:val="24"/>
                <w:szCs w:val="24"/>
              </w:rPr>
            </w:pPr>
          </w:p>
          <w:p w14:paraId="70DC7981" w14:textId="461509AD" w:rsidR="00353E3C" w:rsidRDefault="00C52B80" w:rsidP="00C125FF">
            <w:pPr>
              <w:pStyle w:val="Default"/>
              <w:rPr>
                <w:rFonts w:eastAsia="MS ??"/>
                <w:color w:val="auto"/>
              </w:rPr>
            </w:pPr>
            <w:r w:rsidRPr="00F21AB9">
              <w:rPr>
                <w:rFonts w:eastAsia="MS ??"/>
                <w:color w:val="auto"/>
              </w:rPr>
              <w:t xml:space="preserve">Pharmacists are required to complete an </w:t>
            </w:r>
            <w:r w:rsidR="00353E3C" w:rsidRPr="00F21AB9">
              <w:rPr>
                <w:rFonts w:eastAsia="MS ??"/>
                <w:color w:val="auto"/>
              </w:rPr>
              <w:t>annual Pharmacy</w:t>
            </w:r>
            <w:r w:rsidRPr="00F21AB9">
              <w:rPr>
                <w:rFonts w:eastAsia="MS ??"/>
                <w:color w:val="auto"/>
              </w:rPr>
              <w:t xml:space="preserve"> </w:t>
            </w:r>
            <w:r w:rsidR="005A4D3E" w:rsidRPr="00F21AB9">
              <w:rPr>
                <w:rFonts w:eastAsia="MS ??"/>
                <w:color w:val="auto"/>
              </w:rPr>
              <w:t>Clinical</w:t>
            </w:r>
            <w:r w:rsidRPr="00F21AB9">
              <w:rPr>
                <w:rFonts w:eastAsia="MS ??"/>
                <w:color w:val="auto"/>
              </w:rPr>
              <w:t xml:space="preserve"> </w:t>
            </w:r>
            <w:r w:rsidR="005A4D3E" w:rsidRPr="00F21AB9">
              <w:rPr>
                <w:rFonts w:eastAsia="MS ??"/>
                <w:color w:val="auto"/>
              </w:rPr>
              <w:t>G</w:t>
            </w:r>
            <w:r w:rsidRPr="00F21AB9">
              <w:rPr>
                <w:rFonts w:eastAsia="MS ??"/>
                <w:color w:val="auto"/>
              </w:rPr>
              <w:t>overnance</w:t>
            </w:r>
            <w:r w:rsidR="007B0604" w:rsidRPr="00F21AB9">
              <w:rPr>
                <w:rFonts w:eastAsia="MS ??"/>
                <w:color w:val="auto"/>
              </w:rPr>
              <w:t xml:space="preserve"> </w:t>
            </w:r>
            <w:r w:rsidR="00353E3C" w:rsidRPr="00F21AB9">
              <w:rPr>
                <w:rFonts w:eastAsia="MS ??"/>
                <w:color w:val="auto"/>
              </w:rPr>
              <w:t>Assurance Statement</w:t>
            </w:r>
            <w:r w:rsidRPr="00F21AB9">
              <w:rPr>
                <w:rFonts w:eastAsia="MS ??"/>
                <w:color w:val="auto"/>
              </w:rPr>
              <w:t xml:space="preserve"> </w:t>
            </w:r>
            <w:r w:rsidR="00AA606D">
              <w:rPr>
                <w:rFonts w:eastAsia="MS ??"/>
                <w:color w:val="auto"/>
              </w:rPr>
              <w:t>via Pharm</w:t>
            </w:r>
            <w:r w:rsidR="00101355">
              <w:rPr>
                <w:rFonts w:eastAsia="MS ??"/>
                <w:color w:val="auto"/>
              </w:rPr>
              <w:t>O</w:t>
            </w:r>
            <w:r w:rsidR="00AA606D">
              <w:rPr>
                <w:rFonts w:eastAsia="MS ??"/>
                <w:color w:val="auto"/>
              </w:rPr>
              <w:t xml:space="preserve">utcomes </w:t>
            </w:r>
            <w:r w:rsidR="00CB6A5D" w:rsidRPr="00F21AB9">
              <w:rPr>
                <w:rFonts w:eastAsia="MS ??"/>
                <w:color w:val="auto"/>
              </w:rPr>
              <w:t xml:space="preserve">to provide assurance that public health commissioned services in North Somerset </w:t>
            </w:r>
            <w:r w:rsidR="005A4D3E" w:rsidRPr="00F21AB9">
              <w:rPr>
                <w:rFonts w:eastAsia="MS ??"/>
                <w:color w:val="auto"/>
              </w:rPr>
              <w:t xml:space="preserve">are safe, effective and </w:t>
            </w:r>
            <w:r w:rsidR="00CB6A5D" w:rsidRPr="00F21AB9">
              <w:rPr>
                <w:rFonts w:eastAsia="MS ??"/>
                <w:color w:val="auto"/>
              </w:rPr>
              <w:t xml:space="preserve">meet the required </w:t>
            </w:r>
            <w:r w:rsidR="005A4D3E" w:rsidRPr="00F21AB9">
              <w:rPr>
                <w:rFonts w:eastAsia="MS ??"/>
                <w:color w:val="auto"/>
              </w:rPr>
              <w:t xml:space="preserve">quality </w:t>
            </w:r>
            <w:r w:rsidR="00CB6A5D" w:rsidRPr="00F21AB9">
              <w:rPr>
                <w:rFonts w:eastAsia="MS ??"/>
                <w:color w:val="auto"/>
              </w:rPr>
              <w:t>standards.</w:t>
            </w:r>
          </w:p>
          <w:p w14:paraId="2487A529" w14:textId="00EF2148" w:rsidR="00101355" w:rsidRPr="00F21AB9" w:rsidRDefault="00101355" w:rsidP="00C125FF">
            <w:pPr>
              <w:pStyle w:val="Default"/>
            </w:pPr>
          </w:p>
        </w:tc>
      </w:tr>
      <w:tr w:rsidR="002E3B03" w:rsidRPr="00F21AB9" w14:paraId="4ADEDE08" w14:textId="77777777" w:rsidTr="007D01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2" w:type="dxa"/>
        </w:trPr>
        <w:tc>
          <w:tcPr>
            <w:tcW w:w="9016" w:type="dxa"/>
            <w:gridSpan w:val="2"/>
            <w:tcBorders>
              <w:top w:val="single" w:sz="4" w:space="0" w:color="999999"/>
              <w:left w:val="single" w:sz="4" w:space="0" w:color="999999"/>
              <w:bottom w:val="single" w:sz="4" w:space="0" w:color="999999"/>
              <w:right w:val="single" w:sz="4" w:space="0" w:color="999999"/>
            </w:tcBorders>
            <w:shd w:val="clear" w:color="auto" w:fill="666666"/>
          </w:tcPr>
          <w:p w14:paraId="30E6D30A" w14:textId="77777777" w:rsidR="002E3B03" w:rsidRPr="00F21AB9" w:rsidRDefault="009B2FA2" w:rsidP="002E3B03">
            <w:pPr>
              <w:pStyle w:val="BodyText"/>
              <w:jc w:val="both"/>
              <w:rPr>
                <w:color w:val="FFFF00"/>
                <w:sz w:val="24"/>
                <w:szCs w:val="24"/>
              </w:rPr>
            </w:pPr>
            <w:r w:rsidRPr="00F21AB9">
              <w:rPr>
                <w:color w:val="FFFF00"/>
                <w:sz w:val="24"/>
                <w:szCs w:val="24"/>
              </w:rPr>
              <w:lastRenderedPageBreak/>
              <w:t>4</w:t>
            </w:r>
            <w:r w:rsidR="002E3B03" w:rsidRPr="00F21AB9">
              <w:rPr>
                <w:color w:val="FFFF00"/>
                <w:sz w:val="24"/>
                <w:szCs w:val="24"/>
              </w:rPr>
              <w:t>.  Information provision</w:t>
            </w:r>
          </w:p>
          <w:p w14:paraId="223AF53D" w14:textId="77777777" w:rsidR="002E3B03" w:rsidRPr="00F21AB9" w:rsidRDefault="002E3B03" w:rsidP="000B011F">
            <w:pPr>
              <w:pStyle w:val="BodyText"/>
              <w:jc w:val="both"/>
              <w:rPr>
                <w:color w:val="FFFFFF"/>
                <w:sz w:val="24"/>
                <w:szCs w:val="24"/>
                <w:u w:val="single"/>
              </w:rPr>
            </w:pPr>
          </w:p>
        </w:tc>
      </w:tr>
      <w:tr w:rsidR="002E3B03" w:rsidRPr="00F21AB9" w14:paraId="2C911537" w14:textId="77777777" w:rsidTr="007D01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2" w:type="dxa"/>
        </w:trPr>
        <w:tc>
          <w:tcPr>
            <w:tcW w:w="9016" w:type="dxa"/>
            <w:gridSpan w:val="2"/>
            <w:tcBorders>
              <w:top w:val="single" w:sz="4" w:space="0" w:color="999999"/>
              <w:left w:val="single" w:sz="4" w:space="0" w:color="999999"/>
              <w:bottom w:val="single" w:sz="4" w:space="0" w:color="999999"/>
              <w:right w:val="single" w:sz="4" w:space="0" w:color="999999"/>
            </w:tcBorders>
            <w:shd w:val="clear" w:color="auto" w:fill="auto"/>
          </w:tcPr>
          <w:p w14:paraId="16F3039B" w14:textId="77777777" w:rsidR="00327CA5" w:rsidRPr="00F21AB9" w:rsidRDefault="00327CA5" w:rsidP="00327CA5">
            <w:pPr>
              <w:jc w:val="left"/>
              <w:rPr>
                <w:rFonts w:cs="Arial"/>
                <w:b/>
                <w:color w:val="339966"/>
                <w:szCs w:val="24"/>
              </w:rPr>
            </w:pPr>
            <w:r w:rsidRPr="00F21AB9">
              <w:rPr>
                <w:rFonts w:cs="Arial"/>
                <w:b/>
                <w:color w:val="339966"/>
                <w:szCs w:val="24"/>
              </w:rPr>
              <w:t>4.1 Record of activity</w:t>
            </w:r>
          </w:p>
          <w:p w14:paraId="1160F5A9" w14:textId="3021197A" w:rsidR="00205FA0" w:rsidRPr="00F21AB9" w:rsidRDefault="00327CA5" w:rsidP="00205FA0">
            <w:pPr>
              <w:jc w:val="left"/>
              <w:rPr>
                <w:rFonts w:cs="Arial"/>
                <w:szCs w:val="24"/>
              </w:rPr>
            </w:pPr>
            <w:r w:rsidRPr="00F21AB9">
              <w:rPr>
                <w:rFonts w:cs="Arial"/>
                <w:szCs w:val="24"/>
              </w:rPr>
              <w:t xml:space="preserve">A record of activity should be maintained and held by the service provider. </w:t>
            </w:r>
            <w:r w:rsidR="00205FA0" w:rsidRPr="00F21AB9">
              <w:rPr>
                <w:rFonts w:cs="Arial"/>
                <w:szCs w:val="24"/>
              </w:rPr>
              <w:t>The Provider will need to submit activity data to PharmOutcomes for payments. Service activity is monitored quarterly by the Public Health team.</w:t>
            </w:r>
          </w:p>
          <w:p w14:paraId="534F092B" w14:textId="77777777" w:rsidR="00685592" w:rsidRPr="00F21AB9" w:rsidRDefault="00685592" w:rsidP="00685592">
            <w:pPr>
              <w:jc w:val="left"/>
              <w:rPr>
                <w:rFonts w:cs="Arial"/>
                <w:b/>
                <w:color w:val="00B050"/>
                <w:szCs w:val="24"/>
              </w:rPr>
            </w:pPr>
          </w:p>
          <w:p w14:paraId="3F536AC1" w14:textId="77777777" w:rsidR="00C24168" w:rsidRDefault="00685592" w:rsidP="00685592">
            <w:pPr>
              <w:jc w:val="left"/>
              <w:rPr>
                <w:rFonts w:cs="Arial"/>
                <w:szCs w:val="24"/>
              </w:rPr>
            </w:pPr>
            <w:r w:rsidRPr="00F21AB9">
              <w:rPr>
                <w:rFonts w:cs="Arial"/>
                <w:szCs w:val="24"/>
              </w:rPr>
              <w:t>Full details of the patient, their consultation and suitability for treatment under the PGDs must be recorded using the relevant service proforma on PharmOutcomes. This will then automatically populate a claim for the pharmacy for service delivery.</w:t>
            </w:r>
          </w:p>
          <w:p w14:paraId="1A1FAB70" w14:textId="32A35728" w:rsidR="00685592" w:rsidRPr="00F21AB9" w:rsidRDefault="00685592" w:rsidP="00685592">
            <w:pPr>
              <w:jc w:val="left"/>
              <w:rPr>
                <w:rFonts w:cs="Arial"/>
                <w:szCs w:val="24"/>
              </w:rPr>
            </w:pPr>
            <w:r w:rsidRPr="00F21AB9">
              <w:rPr>
                <w:rFonts w:cs="Arial"/>
                <w:szCs w:val="24"/>
              </w:rPr>
              <w:t xml:space="preserve"> </w:t>
            </w:r>
          </w:p>
          <w:p w14:paraId="6FD75F9B" w14:textId="7053C5F1" w:rsidR="00C011E9" w:rsidRPr="00C24168" w:rsidRDefault="003E267B" w:rsidP="00C011E9">
            <w:pPr>
              <w:jc w:val="left"/>
              <w:rPr>
                <w:rFonts w:cs="Arial"/>
                <w:szCs w:val="24"/>
              </w:rPr>
            </w:pPr>
            <w:bookmarkStart w:id="1" w:name="_Hlk23163399"/>
            <w:r>
              <w:rPr>
                <w:rFonts w:cs="Arial"/>
                <w:szCs w:val="24"/>
              </w:rPr>
              <w:t>Activity d</w:t>
            </w:r>
            <w:r w:rsidR="00685592" w:rsidRPr="00F21AB9">
              <w:rPr>
                <w:rFonts w:cs="Arial"/>
                <w:szCs w:val="24"/>
              </w:rPr>
              <w:t xml:space="preserve">ata needs to be entered </w:t>
            </w:r>
            <w:r w:rsidR="00C24168">
              <w:rPr>
                <w:rFonts w:cs="Arial"/>
                <w:szCs w:val="24"/>
              </w:rPr>
              <w:t xml:space="preserve">onto PharmOutcomes </w:t>
            </w:r>
            <w:r w:rsidR="00685592" w:rsidRPr="00F21AB9">
              <w:rPr>
                <w:rFonts w:cs="Arial"/>
                <w:szCs w:val="24"/>
              </w:rPr>
              <w:t xml:space="preserve">by the </w:t>
            </w:r>
            <w:r w:rsidR="00685592" w:rsidRPr="00C24168">
              <w:rPr>
                <w:rFonts w:cs="Arial"/>
                <w:szCs w:val="24"/>
              </w:rPr>
              <w:t xml:space="preserve">5th of every month. </w:t>
            </w:r>
            <w:r w:rsidR="00C011E9" w:rsidRPr="00C24168">
              <w:rPr>
                <w:rFonts w:cs="Arial"/>
                <w:szCs w:val="24"/>
              </w:rPr>
              <w:t xml:space="preserve">Invoices will be calculated and submitted by PharmOutcomes on the 6th of each month, payment terms are </w:t>
            </w:r>
            <w:r w:rsidR="00C24168" w:rsidRPr="00C24168">
              <w:rPr>
                <w:rFonts w:cs="Arial"/>
                <w:szCs w:val="24"/>
              </w:rPr>
              <w:t>ordinarily 30</w:t>
            </w:r>
            <w:r w:rsidR="00C011E9" w:rsidRPr="00C24168">
              <w:rPr>
                <w:rFonts w:cs="Arial"/>
                <w:szCs w:val="24"/>
              </w:rPr>
              <w:t xml:space="preserve"> </w:t>
            </w:r>
            <w:r w:rsidRPr="00C24168">
              <w:rPr>
                <w:rFonts w:cs="Arial"/>
                <w:szCs w:val="24"/>
              </w:rPr>
              <w:t>days. Claims</w:t>
            </w:r>
            <w:r w:rsidR="00C24168" w:rsidRPr="00C24168">
              <w:rPr>
                <w:rFonts w:cs="Arial"/>
                <w:szCs w:val="24"/>
              </w:rPr>
              <w:t xml:space="preserve"> will be accepted up to 3 months after the end of the month being claimed for, payments will be based on the activity recorded on Pharm Outcomes)</w:t>
            </w:r>
          </w:p>
          <w:p w14:paraId="347BADB4" w14:textId="3AFFDB57" w:rsidR="00C011E9" w:rsidRPr="00C011E9" w:rsidRDefault="00C24168" w:rsidP="00C011E9">
            <w:pPr>
              <w:jc w:val="left"/>
              <w:rPr>
                <w:rFonts w:cs="Arial"/>
                <w:szCs w:val="24"/>
              </w:rPr>
            </w:pPr>
            <w:r w:rsidRPr="00C24168">
              <w:rPr>
                <w:rFonts w:cs="Arial"/>
                <w:szCs w:val="24"/>
              </w:rPr>
              <w:t>Any late claims outside this period may not be paid. (see section 5 Charges, Payment and Recovery for full details</w:t>
            </w:r>
            <w:r w:rsidR="00AA606D">
              <w:rPr>
                <w:rFonts w:cs="Arial"/>
                <w:szCs w:val="24"/>
              </w:rPr>
              <w:t>)</w:t>
            </w:r>
            <w:r>
              <w:rPr>
                <w:rFonts w:cs="Arial"/>
                <w:szCs w:val="24"/>
              </w:rPr>
              <w:t>.</w:t>
            </w:r>
          </w:p>
          <w:p w14:paraId="4F530029" w14:textId="58F128FE" w:rsidR="00685592" w:rsidRDefault="00685592" w:rsidP="00685592">
            <w:pPr>
              <w:jc w:val="left"/>
              <w:rPr>
                <w:rFonts w:cs="Arial"/>
                <w:szCs w:val="24"/>
              </w:rPr>
            </w:pPr>
            <w:r w:rsidRPr="00F21AB9">
              <w:rPr>
                <w:rFonts w:cs="Arial"/>
                <w:szCs w:val="24"/>
              </w:rPr>
              <w:t>Claims are automatically sent to the North Somerset Council Accounts Payable Team</w:t>
            </w:r>
            <w:r w:rsidR="00384C90">
              <w:rPr>
                <w:rFonts w:cs="Arial"/>
                <w:szCs w:val="24"/>
              </w:rPr>
              <w:t>.</w:t>
            </w:r>
          </w:p>
          <w:p w14:paraId="0C454B1D" w14:textId="77777777" w:rsidR="004F70D4" w:rsidRPr="00F21AB9" w:rsidRDefault="004F70D4" w:rsidP="00685592">
            <w:pPr>
              <w:jc w:val="left"/>
              <w:rPr>
                <w:rFonts w:cs="Arial"/>
                <w:szCs w:val="24"/>
              </w:rPr>
            </w:pPr>
          </w:p>
          <w:bookmarkEnd w:id="1"/>
          <w:p w14:paraId="532795DF" w14:textId="791D71B8" w:rsidR="00685592" w:rsidRPr="00F21AB9" w:rsidRDefault="00685592" w:rsidP="00685592">
            <w:pPr>
              <w:jc w:val="left"/>
              <w:rPr>
                <w:rFonts w:cs="Arial"/>
                <w:b/>
                <w:color w:val="339966"/>
                <w:szCs w:val="24"/>
              </w:rPr>
            </w:pPr>
            <w:r w:rsidRPr="00F21AB9">
              <w:rPr>
                <w:rFonts w:cs="Arial"/>
                <w:b/>
                <w:color w:val="339966"/>
                <w:szCs w:val="24"/>
              </w:rPr>
              <w:t xml:space="preserve">4.2 Financial details </w:t>
            </w:r>
          </w:p>
          <w:p w14:paraId="30AD7091" w14:textId="77777777" w:rsidR="00685592" w:rsidRPr="00F21AB9" w:rsidRDefault="00685592" w:rsidP="00685592">
            <w:pPr>
              <w:jc w:val="left"/>
              <w:rPr>
                <w:rFonts w:cs="Arial"/>
                <w:szCs w:val="24"/>
              </w:rPr>
            </w:pPr>
          </w:p>
          <w:tbl>
            <w:tblPr>
              <w:tblStyle w:val="TableGrid"/>
              <w:tblW w:w="0" w:type="auto"/>
              <w:tblLook w:val="04A0" w:firstRow="1" w:lastRow="0" w:firstColumn="1" w:lastColumn="0" w:noHBand="0" w:noVBand="1"/>
            </w:tblPr>
            <w:tblGrid>
              <w:gridCol w:w="4988"/>
              <w:gridCol w:w="3802"/>
            </w:tblGrid>
            <w:tr w:rsidR="00685592" w:rsidRPr="00F21AB9" w14:paraId="437155DB" w14:textId="77777777" w:rsidTr="00B87FEB">
              <w:tc>
                <w:tcPr>
                  <w:tcW w:w="4988" w:type="dxa"/>
                </w:tcPr>
                <w:p w14:paraId="08C43B61" w14:textId="77777777" w:rsidR="00685592" w:rsidRPr="00F21AB9" w:rsidRDefault="00685592" w:rsidP="00685592">
                  <w:pPr>
                    <w:jc w:val="left"/>
                    <w:rPr>
                      <w:rFonts w:cs="Arial"/>
                      <w:szCs w:val="24"/>
                    </w:rPr>
                  </w:pPr>
                  <w:r w:rsidRPr="00F21AB9">
                    <w:rPr>
                      <w:rFonts w:cs="Arial"/>
                      <w:szCs w:val="24"/>
                    </w:rPr>
                    <w:t xml:space="preserve">Professional consultation for Chlamydia screening  </w:t>
                  </w:r>
                </w:p>
              </w:tc>
              <w:tc>
                <w:tcPr>
                  <w:tcW w:w="3802" w:type="dxa"/>
                </w:tcPr>
                <w:p w14:paraId="6B269D67" w14:textId="38915D3A" w:rsidR="00685592" w:rsidRPr="00F21AB9" w:rsidRDefault="00685592" w:rsidP="00685592">
                  <w:pPr>
                    <w:jc w:val="left"/>
                    <w:rPr>
                      <w:rFonts w:cs="Arial"/>
                      <w:szCs w:val="24"/>
                    </w:rPr>
                  </w:pPr>
                  <w:r w:rsidRPr="00F21AB9">
                    <w:rPr>
                      <w:rFonts w:cs="Arial"/>
                      <w:szCs w:val="24"/>
                    </w:rPr>
                    <w:t>£1</w:t>
                  </w:r>
                  <w:r w:rsidR="00B87FEB">
                    <w:rPr>
                      <w:rFonts w:cs="Arial"/>
                      <w:szCs w:val="24"/>
                    </w:rPr>
                    <w:t>4</w:t>
                  </w:r>
                  <w:r w:rsidRPr="00F21AB9">
                    <w:rPr>
                      <w:rFonts w:cs="Arial"/>
                      <w:szCs w:val="24"/>
                    </w:rPr>
                    <w:t xml:space="preserve"> per patient</w:t>
                  </w:r>
                </w:p>
              </w:tc>
            </w:tr>
            <w:tr w:rsidR="00685592" w:rsidRPr="00F21AB9" w14:paraId="22AB763D" w14:textId="77777777" w:rsidTr="00B87FEB">
              <w:tc>
                <w:tcPr>
                  <w:tcW w:w="4988" w:type="dxa"/>
                </w:tcPr>
                <w:p w14:paraId="6DF77983" w14:textId="77777777" w:rsidR="00685592" w:rsidRPr="00F21AB9" w:rsidRDefault="00685592" w:rsidP="00685592">
                  <w:pPr>
                    <w:jc w:val="left"/>
                    <w:rPr>
                      <w:rFonts w:cs="Arial"/>
                      <w:szCs w:val="24"/>
                    </w:rPr>
                  </w:pPr>
                  <w:r w:rsidRPr="00F21AB9">
                    <w:rPr>
                      <w:rFonts w:cs="Arial"/>
                      <w:szCs w:val="24"/>
                    </w:rPr>
                    <w:t xml:space="preserve">Chlamydia treatment </w:t>
                  </w:r>
                </w:p>
                <w:p w14:paraId="49FD9751" w14:textId="77777777" w:rsidR="00685592" w:rsidRPr="00F21AB9" w:rsidRDefault="00685592" w:rsidP="00685592">
                  <w:pPr>
                    <w:jc w:val="left"/>
                    <w:rPr>
                      <w:rFonts w:cs="Arial"/>
                      <w:szCs w:val="24"/>
                    </w:rPr>
                  </w:pPr>
                </w:p>
              </w:tc>
              <w:tc>
                <w:tcPr>
                  <w:tcW w:w="3802" w:type="dxa"/>
                </w:tcPr>
                <w:p w14:paraId="20A2DAAA" w14:textId="77777777" w:rsidR="00685592" w:rsidRPr="00F21AB9" w:rsidRDefault="00685592" w:rsidP="00685592">
                  <w:pPr>
                    <w:jc w:val="left"/>
                    <w:rPr>
                      <w:rFonts w:cs="Arial"/>
                      <w:szCs w:val="24"/>
                    </w:rPr>
                  </w:pPr>
                  <w:r w:rsidRPr="00F21AB9">
                    <w:rPr>
                      <w:rFonts w:cs="Arial"/>
                      <w:szCs w:val="24"/>
                    </w:rPr>
                    <w:t xml:space="preserve">Drug tariff cost for Azithromycin / </w:t>
                  </w:r>
                  <w:r w:rsidRPr="00F21AB9">
                    <w:rPr>
                      <w:rFonts w:cs="Arial"/>
                      <w:bCs/>
                      <w:szCs w:val="24"/>
                    </w:rPr>
                    <w:t>Doxycycline</w:t>
                  </w:r>
                </w:p>
              </w:tc>
            </w:tr>
            <w:tr w:rsidR="00685592" w:rsidRPr="00F21AB9" w14:paraId="28E52606" w14:textId="77777777" w:rsidTr="00B87FEB">
              <w:tc>
                <w:tcPr>
                  <w:tcW w:w="4988" w:type="dxa"/>
                </w:tcPr>
                <w:p w14:paraId="26E3CAC4" w14:textId="77777777" w:rsidR="00685592" w:rsidRPr="00F21AB9" w:rsidRDefault="00685592" w:rsidP="00685592">
                  <w:pPr>
                    <w:jc w:val="left"/>
                    <w:rPr>
                      <w:rFonts w:cs="Arial"/>
                      <w:szCs w:val="24"/>
                    </w:rPr>
                  </w:pPr>
                  <w:r w:rsidRPr="00F21AB9">
                    <w:rPr>
                      <w:rFonts w:cs="Arial"/>
                      <w:szCs w:val="24"/>
                    </w:rPr>
                    <w:t>Professional consultation for EHC</w:t>
                  </w:r>
                </w:p>
              </w:tc>
              <w:tc>
                <w:tcPr>
                  <w:tcW w:w="3802" w:type="dxa"/>
                </w:tcPr>
                <w:p w14:paraId="0BE69B6C" w14:textId="403C067E" w:rsidR="00685592" w:rsidRPr="00F21AB9" w:rsidRDefault="00685592" w:rsidP="00685592">
                  <w:pPr>
                    <w:jc w:val="left"/>
                    <w:rPr>
                      <w:rFonts w:cs="Arial"/>
                      <w:szCs w:val="24"/>
                    </w:rPr>
                  </w:pPr>
                  <w:r w:rsidRPr="00F21AB9">
                    <w:rPr>
                      <w:rFonts w:cs="Arial"/>
                      <w:szCs w:val="24"/>
                    </w:rPr>
                    <w:t>£1</w:t>
                  </w:r>
                  <w:r w:rsidR="00B87FEB">
                    <w:rPr>
                      <w:rFonts w:cs="Arial"/>
                      <w:szCs w:val="24"/>
                    </w:rPr>
                    <w:t>4</w:t>
                  </w:r>
                  <w:r w:rsidRPr="00F21AB9">
                    <w:rPr>
                      <w:rFonts w:cs="Arial"/>
                      <w:szCs w:val="24"/>
                    </w:rPr>
                    <w:t xml:space="preserve"> per patient</w:t>
                  </w:r>
                </w:p>
              </w:tc>
            </w:tr>
            <w:tr w:rsidR="00685592" w:rsidRPr="00F21AB9" w14:paraId="2FFE8499" w14:textId="77777777" w:rsidTr="00B87FEB">
              <w:tc>
                <w:tcPr>
                  <w:tcW w:w="4988" w:type="dxa"/>
                </w:tcPr>
                <w:p w14:paraId="79F078F6" w14:textId="0CEED8EE" w:rsidR="00685592" w:rsidRPr="00F21AB9" w:rsidRDefault="00685592" w:rsidP="00685592">
                  <w:pPr>
                    <w:jc w:val="left"/>
                    <w:rPr>
                      <w:rFonts w:cs="Arial"/>
                      <w:szCs w:val="24"/>
                    </w:rPr>
                  </w:pPr>
                  <w:r w:rsidRPr="00F21AB9">
                    <w:rPr>
                      <w:rFonts w:cs="Arial"/>
                      <w:szCs w:val="24"/>
                    </w:rPr>
                    <w:t xml:space="preserve">EHC </w:t>
                  </w:r>
                  <w:r w:rsidR="005F7A5F" w:rsidRPr="00F21AB9">
                    <w:rPr>
                      <w:rFonts w:cs="Arial"/>
                      <w:szCs w:val="24"/>
                    </w:rPr>
                    <w:t>treatment</w:t>
                  </w:r>
                </w:p>
              </w:tc>
              <w:tc>
                <w:tcPr>
                  <w:tcW w:w="3802" w:type="dxa"/>
                </w:tcPr>
                <w:p w14:paraId="195D6BD5" w14:textId="77777777" w:rsidR="00685592" w:rsidRPr="00F21AB9" w:rsidRDefault="00685592" w:rsidP="00685592">
                  <w:pPr>
                    <w:jc w:val="left"/>
                    <w:rPr>
                      <w:rFonts w:cs="Arial"/>
                      <w:szCs w:val="24"/>
                    </w:rPr>
                  </w:pPr>
                  <w:r w:rsidRPr="00F21AB9">
                    <w:rPr>
                      <w:rFonts w:cs="Arial"/>
                      <w:szCs w:val="24"/>
                    </w:rPr>
                    <w:t xml:space="preserve">Drug tariff cost for levonorgestrel / </w:t>
                  </w:r>
                  <w:r w:rsidRPr="00F21AB9">
                    <w:rPr>
                      <w:rFonts w:cs="Arial"/>
                      <w:bCs/>
                      <w:szCs w:val="24"/>
                    </w:rPr>
                    <w:t>Ulipristal</w:t>
                  </w:r>
                </w:p>
              </w:tc>
            </w:tr>
          </w:tbl>
          <w:p w14:paraId="3927E2B3" w14:textId="77777777" w:rsidR="002E3B03" w:rsidRPr="00F21AB9" w:rsidRDefault="002E3B03" w:rsidP="002E3B03">
            <w:pPr>
              <w:suppressAutoHyphens w:val="0"/>
              <w:contextualSpacing/>
              <w:jc w:val="left"/>
              <w:rPr>
                <w:rFonts w:cs="Arial"/>
                <w:szCs w:val="24"/>
              </w:rPr>
            </w:pPr>
          </w:p>
          <w:p w14:paraId="15954A0F" w14:textId="77777777" w:rsidR="00070F5E" w:rsidRDefault="00045C2A" w:rsidP="00C125FF">
            <w:pPr>
              <w:pStyle w:val="BodyText"/>
              <w:rPr>
                <w:b/>
                <w:i/>
                <w:sz w:val="24"/>
                <w:szCs w:val="24"/>
                <w:u w:val="single"/>
              </w:rPr>
            </w:pPr>
            <w:r w:rsidRPr="00F21AB9">
              <w:rPr>
                <w:b/>
                <w:sz w:val="24"/>
                <w:szCs w:val="24"/>
              </w:rPr>
              <w:t xml:space="preserve">NB: </w:t>
            </w:r>
            <w:r w:rsidRPr="00F21AB9">
              <w:rPr>
                <w:b/>
                <w:i/>
                <w:sz w:val="24"/>
                <w:szCs w:val="24"/>
                <w:u w:val="single"/>
              </w:rPr>
              <w:t>Failure to maintain and update the Declaration of Competence will mean the pharmacist will not be able to access the service on Pharm Outcomes and therefore unable to generate claims for payment.</w:t>
            </w:r>
          </w:p>
          <w:p w14:paraId="0A06DB62" w14:textId="77777777" w:rsidR="004F70D4" w:rsidRDefault="004F70D4" w:rsidP="00C125FF">
            <w:pPr>
              <w:pStyle w:val="BodyText"/>
              <w:rPr>
                <w:b/>
                <w:i/>
                <w:sz w:val="24"/>
                <w:szCs w:val="24"/>
                <w:u w:val="single"/>
              </w:rPr>
            </w:pPr>
          </w:p>
          <w:p w14:paraId="574D2BE1" w14:textId="77777777" w:rsidR="004F70D4" w:rsidRDefault="004F70D4" w:rsidP="00C125FF">
            <w:pPr>
              <w:pStyle w:val="BodyText"/>
              <w:rPr>
                <w:b/>
                <w:i/>
                <w:sz w:val="24"/>
                <w:szCs w:val="24"/>
                <w:u w:val="single"/>
              </w:rPr>
            </w:pPr>
          </w:p>
          <w:p w14:paraId="455884C7" w14:textId="77777777" w:rsidR="004F70D4" w:rsidRDefault="004F70D4" w:rsidP="00C125FF">
            <w:pPr>
              <w:pStyle w:val="BodyText"/>
              <w:rPr>
                <w:b/>
                <w:i/>
                <w:sz w:val="24"/>
                <w:szCs w:val="24"/>
                <w:u w:val="single"/>
              </w:rPr>
            </w:pPr>
          </w:p>
          <w:p w14:paraId="15D4B81F" w14:textId="77777777" w:rsidR="004F70D4" w:rsidRDefault="004F70D4" w:rsidP="00C125FF">
            <w:pPr>
              <w:pStyle w:val="BodyText"/>
              <w:rPr>
                <w:b/>
                <w:i/>
                <w:sz w:val="24"/>
                <w:szCs w:val="24"/>
                <w:u w:val="single"/>
              </w:rPr>
            </w:pPr>
          </w:p>
          <w:p w14:paraId="630AB365" w14:textId="382DDA2F" w:rsidR="004F70D4" w:rsidRPr="00F21AB9" w:rsidRDefault="004F70D4" w:rsidP="00C125FF">
            <w:pPr>
              <w:pStyle w:val="BodyText"/>
              <w:rPr>
                <w:sz w:val="24"/>
                <w:szCs w:val="24"/>
              </w:rPr>
            </w:pPr>
          </w:p>
        </w:tc>
      </w:tr>
      <w:tr w:rsidR="00E94A4D" w:rsidRPr="00F21AB9" w14:paraId="6C6A73CF" w14:textId="77777777" w:rsidTr="007D01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2" w:type="dxa"/>
        </w:trPr>
        <w:tc>
          <w:tcPr>
            <w:tcW w:w="9016" w:type="dxa"/>
            <w:gridSpan w:val="2"/>
            <w:tcBorders>
              <w:top w:val="single" w:sz="4" w:space="0" w:color="999999"/>
              <w:left w:val="single" w:sz="4" w:space="0" w:color="999999"/>
              <w:bottom w:val="single" w:sz="4" w:space="0" w:color="999999"/>
              <w:right w:val="single" w:sz="4" w:space="0" w:color="999999"/>
            </w:tcBorders>
            <w:shd w:val="clear" w:color="auto" w:fill="666666"/>
          </w:tcPr>
          <w:p w14:paraId="54E7AB8E" w14:textId="77777777" w:rsidR="00E94A4D" w:rsidRPr="00F21AB9" w:rsidRDefault="00E94A4D" w:rsidP="000B011F">
            <w:pPr>
              <w:pStyle w:val="BodyText"/>
              <w:jc w:val="both"/>
              <w:rPr>
                <w:color w:val="FFFFFF"/>
                <w:sz w:val="24"/>
                <w:szCs w:val="24"/>
                <w:u w:val="single"/>
              </w:rPr>
            </w:pPr>
          </w:p>
          <w:p w14:paraId="56AD58DA" w14:textId="77777777" w:rsidR="00E94A4D" w:rsidRPr="00F21AB9" w:rsidRDefault="009B2FA2" w:rsidP="000B011F">
            <w:pPr>
              <w:pStyle w:val="BodyText"/>
              <w:jc w:val="both"/>
              <w:rPr>
                <w:color w:val="FFFF00"/>
                <w:sz w:val="24"/>
                <w:szCs w:val="24"/>
              </w:rPr>
            </w:pPr>
            <w:r w:rsidRPr="00F21AB9">
              <w:rPr>
                <w:color w:val="FFFF00"/>
                <w:sz w:val="24"/>
                <w:szCs w:val="24"/>
              </w:rPr>
              <w:t>5</w:t>
            </w:r>
            <w:r w:rsidR="00E94A4D" w:rsidRPr="00F21AB9">
              <w:rPr>
                <w:color w:val="FFFF00"/>
                <w:sz w:val="24"/>
                <w:szCs w:val="24"/>
              </w:rPr>
              <w:t xml:space="preserve">.  </w:t>
            </w:r>
            <w:r w:rsidR="00310AB3" w:rsidRPr="00F21AB9">
              <w:rPr>
                <w:color w:val="FFFF00"/>
                <w:sz w:val="24"/>
                <w:szCs w:val="24"/>
              </w:rPr>
              <w:t>Key Performance Indicators</w:t>
            </w:r>
          </w:p>
          <w:p w14:paraId="53367D1C" w14:textId="77777777" w:rsidR="00E94A4D" w:rsidRPr="00F21AB9" w:rsidRDefault="00E94A4D" w:rsidP="000B011F">
            <w:pPr>
              <w:pStyle w:val="BodyText"/>
              <w:jc w:val="both"/>
              <w:rPr>
                <w:color w:val="FFFFFF"/>
                <w:sz w:val="24"/>
                <w:szCs w:val="24"/>
                <w:u w:val="single"/>
              </w:rPr>
            </w:pPr>
          </w:p>
        </w:tc>
      </w:tr>
      <w:tr w:rsidR="00E94A4D" w:rsidRPr="00F21AB9" w14:paraId="4AB4A9EB" w14:textId="77777777" w:rsidTr="004F70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2" w:type="dxa"/>
          <w:trHeight w:val="9216"/>
        </w:trPr>
        <w:tc>
          <w:tcPr>
            <w:tcW w:w="9016" w:type="dxa"/>
            <w:gridSpan w:val="2"/>
            <w:tcBorders>
              <w:top w:val="single" w:sz="4" w:space="0" w:color="999999"/>
              <w:left w:val="single" w:sz="4" w:space="0" w:color="999999"/>
              <w:bottom w:val="single" w:sz="4" w:space="0" w:color="999999"/>
              <w:right w:val="single" w:sz="4" w:space="0" w:color="999999"/>
            </w:tcBorders>
          </w:tcPr>
          <w:p w14:paraId="4AE9C7D5" w14:textId="77777777" w:rsidR="009A4186" w:rsidRPr="00F21AB9" w:rsidRDefault="009A4186" w:rsidP="000B011F">
            <w:pPr>
              <w:pStyle w:val="BodyText"/>
              <w:jc w:val="both"/>
              <w:rPr>
                <w:sz w:val="24"/>
                <w:szCs w:val="24"/>
              </w:rPr>
            </w:pPr>
          </w:p>
          <w:tbl>
            <w:tblPr>
              <w:tblStyle w:val="TableGrid"/>
              <w:tblW w:w="0" w:type="auto"/>
              <w:tblLook w:val="04A0" w:firstRow="1" w:lastRow="0" w:firstColumn="1" w:lastColumn="0" w:noHBand="0" w:noVBand="1"/>
            </w:tblPr>
            <w:tblGrid>
              <w:gridCol w:w="2858"/>
              <w:gridCol w:w="1844"/>
              <w:gridCol w:w="2059"/>
              <w:gridCol w:w="2029"/>
            </w:tblGrid>
            <w:tr w:rsidR="00630EB1" w:rsidRPr="00F21AB9" w14:paraId="4BCFA031" w14:textId="77777777" w:rsidTr="000A2E1C">
              <w:tc>
                <w:tcPr>
                  <w:tcW w:w="2859" w:type="dxa"/>
                  <w:shd w:val="clear" w:color="auto" w:fill="D0CECE" w:themeFill="background2" w:themeFillShade="E6"/>
                </w:tcPr>
                <w:p w14:paraId="05A40522" w14:textId="77777777" w:rsidR="00310AB3" w:rsidRPr="00F21AB9" w:rsidRDefault="00310AB3" w:rsidP="00310AB3">
                  <w:pPr>
                    <w:pStyle w:val="BodyText"/>
                    <w:jc w:val="center"/>
                    <w:rPr>
                      <w:b/>
                      <w:sz w:val="24"/>
                      <w:szCs w:val="24"/>
                    </w:rPr>
                  </w:pPr>
                  <w:r w:rsidRPr="00F21AB9">
                    <w:rPr>
                      <w:b/>
                      <w:sz w:val="24"/>
                      <w:szCs w:val="24"/>
                    </w:rPr>
                    <w:t>Key Performance Indicators</w:t>
                  </w:r>
                </w:p>
              </w:tc>
              <w:tc>
                <w:tcPr>
                  <w:tcW w:w="1843" w:type="dxa"/>
                  <w:shd w:val="clear" w:color="auto" w:fill="D0CECE" w:themeFill="background2" w:themeFillShade="E6"/>
                </w:tcPr>
                <w:p w14:paraId="00659929" w14:textId="77777777" w:rsidR="00310AB3" w:rsidRPr="00F21AB9" w:rsidRDefault="00310AB3" w:rsidP="00310AB3">
                  <w:pPr>
                    <w:pStyle w:val="BodyText"/>
                    <w:jc w:val="center"/>
                    <w:rPr>
                      <w:b/>
                      <w:sz w:val="24"/>
                      <w:szCs w:val="24"/>
                    </w:rPr>
                  </w:pPr>
                  <w:r w:rsidRPr="00F21AB9">
                    <w:rPr>
                      <w:b/>
                      <w:sz w:val="24"/>
                      <w:szCs w:val="24"/>
                    </w:rPr>
                    <w:t>Method of measurement</w:t>
                  </w:r>
                </w:p>
              </w:tc>
              <w:tc>
                <w:tcPr>
                  <w:tcW w:w="2059" w:type="dxa"/>
                  <w:shd w:val="clear" w:color="auto" w:fill="D0CECE" w:themeFill="background2" w:themeFillShade="E6"/>
                </w:tcPr>
                <w:p w14:paraId="54B16906" w14:textId="77777777" w:rsidR="00310AB3" w:rsidRPr="00F21AB9" w:rsidRDefault="00310AB3" w:rsidP="00310AB3">
                  <w:pPr>
                    <w:pStyle w:val="BodyText"/>
                    <w:jc w:val="center"/>
                    <w:rPr>
                      <w:b/>
                      <w:sz w:val="24"/>
                      <w:szCs w:val="24"/>
                    </w:rPr>
                  </w:pPr>
                  <w:r w:rsidRPr="00F21AB9">
                    <w:rPr>
                      <w:b/>
                      <w:sz w:val="24"/>
                      <w:szCs w:val="24"/>
                    </w:rPr>
                    <w:t>Threshold</w:t>
                  </w:r>
                </w:p>
              </w:tc>
              <w:tc>
                <w:tcPr>
                  <w:tcW w:w="2029" w:type="dxa"/>
                  <w:shd w:val="clear" w:color="auto" w:fill="D0CECE" w:themeFill="background2" w:themeFillShade="E6"/>
                </w:tcPr>
                <w:p w14:paraId="3516EEB0" w14:textId="77777777" w:rsidR="00310AB3" w:rsidRPr="00F21AB9" w:rsidRDefault="00310AB3" w:rsidP="00310AB3">
                  <w:pPr>
                    <w:pStyle w:val="BodyText"/>
                    <w:jc w:val="center"/>
                    <w:rPr>
                      <w:b/>
                      <w:sz w:val="24"/>
                      <w:szCs w:val="24"/>
                    </w:rPr>
                  </w:pPr>
                  <w:r w:rsidRPr="00F21AB9">
                    <w:rPr>
                      <w:b/>
                      <w:sz w:val="24"/>
                      <w:szCs w:val="24"/>
                    </w:rPr>
                    <w:t>Consequence of breach</w:t>
                  </w:r>
                </w:p>
              </w:tc>
            </w:tr>
            <w:tr w:rsidR="00630EB1" w:rsidRPr="00F21AB9" w14:paraId="2D29E196" w14:textId="77777777" w:rsidTr="000A2E1C">
              <w:tc>
                <w:tcPr>
                  <w:tcW w:w="2859" w:type="dxa"/>
                </w:tcPr>
                <w:p w14:paraId="774151DD" w14:textId="51D2176A" w:rsidR="00AD1972" w:rsidRPr="00F21AB9" w:rsidRDefault="00AD1972" w:rsidP="00DC3634">
                  <w:pPr>
                    <w:pStyle w:val="BodyText"/>
                    <w:rPr>
                      <w:sz w:val="24"/>
                      <w:szCs w:val="24"/>
                    </w:rPr>
                  </w:pPr>
                  <w:r w:rsidRPr="00F21AB9">
                    <w:rPr>
                      <w:b/>
                      <w:sz w:val="24"/>
                      <w:szCs w:val="24"/>
                    </w:rPr>
                    <w:t>Accessibility:</w:t>
                  </w:r>
                  <w:r w:rsidRPr="00F21AB9">
                    <w:rPr>
                      <w:sz w:val="24"/>
                      <w:szCs w:val="24"/>
                    </w:rPr>
                    <w:t xml:space="preserve"> </w:t>
                  </w:r>
                  <w:r w:rsidR="00E97A8A" w:rsidRPr="00F21AB9">
                    <w:rPr>
                      <w:sz w:val="24"/>
                      <w:szCs w:val="24"/>
                    </w:rPr>
                    <w:t>sexual health consultations with young people aged 13-24 are made available during pharmacy operating hours</w:t>
                  </w:r>
                </w:p>
              </w:tc>
              <w:tc>
                <w:tcPr>
                  <w:tcW w:w="1843" w:type="dxa"/>
                </w:tcPr>
                <w:p w14:paraId="79C9CF0B" w14:textId="77777777" w:rsidR="00AD1972" w:rsidRPr="00F21AB9" w:rsidRDefault="00E97A8A" w:rsidP="000A2E1C">
                  <w:pPr>
                    <w:pStyle w:val="BodyText"/>
                    <w:rPr>
                      <w:sz w:val="24"/>
                      <w:szCs w:val="24"/>
                    </w:rPr>
                  </w:pPr>
                  <w:r w:rsidRPr="00F21AB9">
                    <w:rPr>
                      <w:sz w:val="24"/>
                      <w:szCs w:val="24"/>
                    </w:rPr>
                    <w:t>Feedback from professionals referring to pharmacies</w:t>
                  </w:r>
                </w:p>
                <w:p w14:paraId="1FEE71DD" w14:textId="00119DAD" w:rsidR="00045C2A" w:rsidRPr="00F21AB9" w:rsidRDefault="00045C2A" w:rsidP="000A2E1C">
                  <w:pPr>
                    <w:pStyle w:val="BodyText"/>
                    <w:rPr>
                      <w:sz w:val="24"/>
                      <w:szCs w:val="24"/>
                    </w:rPr>
                  </w:pPr>
                  <w:r w:rsidRPr="00F21AB9">
                    <w:rPr>
                      <w:sz w:val="24"/>
                      <w:szCs w:val="24"/>
                    </w:rPr>
                    <w:t>Mystery shopping</w:t>
                  </w:r>
                </w:p>
              </w:tc>
              <w:tc>
                <w:tcPr>
                  <w:tcW w:w="2059" w:type="dxa"/>
                </w:tcPr>
                <w:p w14:paraId="1992F864" w14:textId="77777777" w:rsidR="00AD1972" w:rsidRPr="00F21AB9" w:rsidRDefault="00E97A8A" w:rsidP="000A2E1C">
                  <w:pPr>
                    <w:pStyle w:val="BodyText"/>
                    <w:rPr>
                      <w:sz w:val="24"/>
                      <w:szCs w:val="24"/>
                    </w:rPr>
                  </w:pPr>
                  <w:r w:rsidRPr="00F21AB9">
                    <w:rPr>
                      <w:sz w:val="24"/>
                      <w:szCs w:val="24"/>
                    </w:rPr>
                    <w:t>100%</w:t>
                  </w:r>
                  <w:r w:rsidR="00AD1972" w:rsidRPr="00F21AB9">
                    <w:rPr>
                      <w:sz w:val="24"/>
                      <w:szCs w:val="24"/>
                    </w:rPr>
                    <w:t xml:space="preserve"> </w:t>
                  </w:r>
                </w:p>
              </w:tc>
              <w:tc>
                <w:tcPr>
                  <w:tcW w:w="2029" w:type="dxa"/>
                </w:tcPr>
                <w:p w14:paraId="364FC448" w14:textId="31649857" w:rsidR="002E3B03" w:rsidRPr="00F21AB9" w:rsidRDefault="00045C2A" w:rsidP="002E3B03">
                  <w:pPr>
                    <w:pStyle w:val="BodyText"/>
                    <w:rPr>
                      <w:sz w:val="24"/>
                      <w:szCs w:val="24"/>
                    </w:rPr>
                  </w:pPr>
                  <w:r w:rsidRPr="00F21AB9">
                    <w:rPr>
                      <w:sz w:val="24"/>
                      <w:szCs w:val="24"/>
                    </w:rPr>
                    <w:t>M</w:t>
                  </w:r>
                  <w:r w:rsidR="002E3B03" w:rsidRPr="00F21AB9">
                    <w:rPr>
                      <w:sz w:val="24"/>
                      <w:szCs w:val="24"/>
                    </w:rPr>
                    <w:t>eeting with the commissioner to discuss issues. Failure to improve may result in termination of the contract.</w:t>
                  </w:r>
                </w:p>
              </w:tc>
            </w:tr>
            <w:tr w:rsidR="00630EB1" w:rsidRPr="00F21AB9" w14:paraId="0A4363EC" w14:textId="77777777" w:rsidTr="00045C2A">
              <w:trPr>
                <w:trHeight w:val="3462"/>
              </w:trPr>
              <w:tc>
                <w:tcPr>
                  <w:tcW w:w="2859" w:type="dxa"/>
                </w:tcPr>
                <w:p w14:paraId="3AC012C1" w14:textId="05C4DB23" w:rsidR="00E97A8A" w:rsidRPr="00F21AB9" w:rsidRDefault="00731C12" w:rsidP="00E97A8A">
                  <w:pPr>
                    <w:jc w:val="left"/>
                    <w:rPr>
                      <w:rFonts w:cs="Arial"/>
                      <w:b/>
                      <w:szCs w:val="24"/>
                    </w:rPr>
                  </w:pPr>
                  <w:r w:rsidRPr="00F21AB9">
                    <w:rPr>
                      <w:rFonts w:cs="Arial"/>
                      <w:b/>
                      <w:szCs w:val="24"/>
                    </w:rPr>
                    <w:t>Quality</w:t>
                  </w:r>
                  <w:r w:rsidR="00E97A8A" w:rsidRPr="00F21AB9">
                    <w:rPr>
                      <w:rFonts w:cs="Arial"/>
                      <w:b/>
                      <w:szCs w:val="24"/>
                    </w:rPr>
                    <w:t>:</w:t>
                  </w:r>
                </w:p>
                <w:p w14:paraId="46623582" w14:textId="3AE455F9" w:rsidR="00AD1972" w:rsidRPr="00F21AB9" w:rsidRDefault="00E97A8A" w:rsidP="00E97A8A">
                  <w:pPr>
                    <w:jc w:val="left"/>
                    <w:rPr>
                      <w:rFonts w:cs="Arial"/>
                      <w:szCs w:val="24"/>
                    </w:rPr>
                  </w:pPr>
                  <w:r w:rsidRPr="00F21AB9">
                    <w:rPr>
                      <w:rFonts w:cs="Arial"/>
                      <w:szCs w:val="24"/>
                    </w:rPr>
                    <w:t>Females presenting for EHC to be consulted on Cu-IUD as the most effective option</w:t>
                  </w:r>
                  <w:r w:rsidR="00384C90">
                    <w:rPr>
                      <w:rFonts w:cs="Arial"/>
                      <w:szCs w:val="24"/>
                    </w:rPr>
                    <w:t xml:space="preserve"> for preventing pregnancy </w:t>
                  </w:r>
                  <w:r w:rsidR="003C127F">
                    <w:rPr>
                      <w:rFonts w:cs="Arial"/>
                      <w:szCs w:val="24"/>
                    </w:rPr>
                    <w:t xml:space="preserve">after unprotected sex </w:t>
                  </w:r>
                  <w:r w:rsidR="00384C90">
                    <w:rPr>
                      <w:rFonts w:cs="Arial"/>
                      <w:szCs w:val="24"/>
                    </w:rPr>
                    <w:t>and as an ongoing method of contraception</w:t>
                  </w:r>
                  <w:r w:rsidRPr="00F21AB9">
                    <w:rPr>
                      <w:rFonts w:cs="Arial"/>
                      <w:szCs w:val="24"/>
                    </w:rPr>
                    <w:t>.</w:t>
                  </w:r>
                </w:p>
                <w:p w14:paraId="10304CCB" w14:textId="77777777" w:rsidR="00DB64AC" w:rsidRPr="00F21AB9" w:rsidRDefault="00DB64AC" w:rsidP="00E97A8A">
                  <w:pPr>
                    <w:jc w:val="left"/>
                    <w:rPr>
                      <w:rFonts w:cs="Arial"/>
                      <w:szCs w:val="24"/>
                    </w:rPr>
                  </w:pPr>
                </w:p>
                <w:p w14:paraId="6DB92BBF" w14:textId="59F96586" w:rsidR="00DB64AC" w:rsidRPr="00F21AB9" w:rsidRDefault="00731C12" w:rsidP="00E97A8A">
                  <w:pPr>
                    <w:jc w:val="left"/>
                    <w:rPr>
                      <w:rFonts w:cs="Arial"/>
                      <w:b/>
                      <w:szCs w:val="24"/>
                    </w:rPr>
                  </w:pPr>
                  <w:r w:rsidRPr="00F21AB9">
                    <w:rPr>
                      <w:rFonts w:cs="Arial"/>
                      <w:b/>
                      <w:szCs w:val="24"/>
                    </w:rPr>
                    <w:t>Accessibility</w:t>
                  </w:r>
                </w:p>
                <w:p w14:paraId="759C5917" w14:textId="6FC57BE9" w:rsidR="00DB64AC" w:rsidRPr="00F21AB9" w:rsidRDefault="00DB64AC" w:rsidP="00E97A8A">
                  <w:pPr>
                    <w:jc w:val="left"/>
                    <w:rPr>
                      <w:rFonts w:cs="Arial"/>
                      <w:szCs w:val="24"/>
                    </w:rPr>
                  </w:pPr>
                  <w:r w:rsidRPr="00F21AB9">
                    <w:rPr>
                      <w:rFonts w:cs="Arial"/>
                      <w:szCs w:val="24"/>
                    </w:rPr>
                    <w:t>Females presenting for EHC are seen the same day</w:t>
                  </w:r>
                  <w:r w:rsidR="00834E09">
                    <w:rPr>
                      <w:rFonts w:cs="Arial"/>
                      <w:szCs w:val="24"/>
                    </w:rPr>
                    <w:t>. Where this is not possible</w:t>
                  </w:r>
                  <w:r w:rsidRPr="00F21AB9">
                    <w:rPr>
                      <w:rFonts w:cs="Arial"/>
                      <w:szCs w:val="24"/>
                    </w:rPr>
                    <w:t xml:space="preserve"> </w:t>
                  </w:r>
                  <w:r w:rsidR="00834E09">
                    <w:rPr>
                      <w:rFonts w:cs="Arial"/>
                      <w:szCs w:val="24"/>
                    </w:rPr>
                    <w:t xml:space="preserve">all staff including locums  can make </w:t>
                  </w:r>
                  <w:r w:rsidRPr="00F21AB9">
                    <w:rPr>
                      <w:rFonts w:cs="Arial"/>
                      <w:szCs w:val="24"/>
                    </w:rPr>
                    <w:t xml:space="preserve"> a supported referral  to an alternative pharmacy</w:t>
                  </w:r>
                  <w:r w:rsidR="00953B72" w:rsidRPr="00F21AB9">
                    <w:rPr>
                      <w:rFonts w:cs="Arial"/>
                      <w:szCs w:val="24"/>
                    </w:rPr>
                    <w:t xml:space="preserve">/specialist sexual health clinic or GP where </w:t>
                  </w:r>
                  <w:r w:rsidR="00731C12" w:rsidRPr="00F21AB9">
                    <w:rPr>
                      <w:rFonts w:cs="Arial"/>
                      <w:szCs w:val="24"/>
                    </w:rPr>
                    <w:t>appropriate</w:t>
                  </w:r>
                </w:p>
              </w:tc>
              <w:tc>
                <w:tcPr>
                  <w:tcW w:w="1843" w:type="dxa"/>
                </w:tcPr>
                <w:p w14:paraId="4993EE4F" w14:textId="77777777" w:rsidR="00AD1972" w:rsidRPr="00F21AB9" w:rsidRDefault="00E97A8A" w:rsidP="00DC3634">
                  <w:pPr>
                    <w:pStyle w:val="BodyText"/>
                    <w:rPr>
                      <w:sz w:val="24"/>
                      <w:szCs w:val="24"/>
                    </w:rPr>
                  </w:pPr>
                  <w:r w:rsidRPr="00F21AB9">
                    <w:rPr>
                      <w:sz w:val="24"/>
                      <w:szCs w:val="24"/>
                    </w:rPr>
                    <w:t>Number of referrals into Unity Sexual Health</w:t>
                  </w:r>
                </w:p>
                <w:p w14:paraId="28AE297B" w14:textId="77777777" w:rsidR="00DB64AC" w:rsidRPr="00F21AB9" w:rsidRDefault="00DB64AC" w:rsidP="00DC3634">
                  <w:pPr>
                    <w:pStyle w:val="BodyText"/>
                    <w:rPr>
                      <w:sz w:val="24"/>
                      <w:szCs w:val="24"/>
                    </w:rPr>
                  </w:pPr>
                </w:p>
                <w:p w14:paraId="360EC0E8" w14:textId="77777777" w:rsidR="00DB64AC" w:rsidRPr="00F21AB9" w:rsidRDefault="00DB64AC" w:rsidP="00DC3634">
                  <w:pPr>
                    <w:pStyle w:val="BodyText"/>
                    <w:rPr>
                      <w:sz w:val="24"/>
                      <w:szCs w:val="24"/>
                    </w:rPr>
                  </w:pPr>
                </w:p>
                <w:p w14:paraId="36CCBBC5" w14:textId="77777777" w:rsidR="00DB64AC" w:rsidRPr="00F21AB9" w:rsidRDefault="00DB64AC" w:rsidP="00DC3634">
                  <w:pPr>
                    <w:pStyle w:val="BodyText"/>
                    <w:rPr>
                      <w:sz w:val="24"/>
                      <w:szCs w:val="24"/>
                    </w:rPr>
                  </w:pPr>
                </w:p>
                <w:p w14:paraId="1704132D" w14:textId="77777777" w:rsidR="003C127F" w:rsidRDefault="003C127F" w:rsidP="00DC3634">
                  <w:pPr>
                    <w:pStyle w:val="BodyText"/>
                    <w:rPr>
                      <w:sz w:val="24"/>
                      <w:szCs w:val="24"/>
                    </w:rPr>
                  </w:pPr>
                </w:p>
                <w:p w14:paraId="15BDC282" w14:textId="77777777" w:rsidR="003C127F" w:rsidRDefault="003C127F" w:rsidP="00DC3634">
                  <w:pPr>
                    <w:pStyle w:val="BodyText"/>
                    <w:rPr>
                      <w:sz w:val="24"/>
                      <w:szCs w:val="24"/>
                    </w:rPr>
                  </w:pPr>
                </w:p>
                <w:p w14:paraId="25C6E8D9" w14:textId="77777777" w:rsidR="003C127F" w:rsidRDefault="003C127F" w:rsidP="00DC3634">
                  <w:pPr>
                    <w:pStyle w:val="BodyText"/>
                    <w:rPr>
                      <w:sz w:val="24"/>
                      <w:szCs w:val="24"/>
                    </w:rPr>
                  </w:pPr>
                </w:p>
                <w:p w14:paraId="4E2CE722" w14:textId="77777777" w:rsidR="003C127F" w:rsidRDefault="003C127F" w:rsidP="00DC3634">
                  <w:pPr>
                    <w:pStyle w:val="BodyText"/>
                    <w:rPr>
                      <w:sz w:val="24"/>
                      <w:szCs w:val="24"/>
                    </w:rPr>
                  </w:pPr>
                </w:p>
                <w:p w14:paraId="0A12C58A" w14:textId="5ADF9390" w:rsidR="00DB64AC" w:rsidRPr="00F21AB9" w:rsidRDefault="00257AA3" w:rsidP="00DC3634">
                  <w:pPr>
                    <w:pStyle w:val="BodyText"/>
                    <w:rPr>
                      <w:sz w:val="24"/>
                      <w:szCs w:val="24"/>
                    </w:rPr>
                  </w:pPr>
                  <w:r w:rsidRPr="00F21AB9">
                    <w:rPr>
                      <w:sz w:val="24"/>
                      <w:szCs w:val="24"/>
                    </w:rPr>
                    <w:t xml:space="preserve">Audit / </w:t>
                  </w:r>
                  <w:r w:rsidR="00DB64AC" w:rsidRPr="00F21AB9">
                    <w:rPr>
                      <w:sz w:val="24"/>
                      <w:szCs w:val="24"/>
                    </w:rPr>
                    <w:t xml:space="preserve">Feedback from </w:t>
                  </w:r>
                  <w:r w:rsidR="00630EB1" w:rsidRPr="00F21AB9">
                    <w:rPr>
                      <w:sz w:val="24"/>
                      <w:szCs w:val="24"/>
                    </w:rPr>
                    <w:t xml:space="preserve">young people and </w:t>
                  </w:r>
                  <w:r w:rsidR="00DB64AC" w:rsidRPr="00F21AB9">
                    <w:rPr>
                      <w:sz w:val="24"/>
                      <w:szCs w:val="24"/>
                    </w:rPr>
                    <w:t xml:space="preserve">professionals </w:t>
                  </w:r>
                  <w:r w:rsidR="00630EB1" w:rsidRPr="00F21AB9">
                    <w:rPr>
                      <w:sz w:val="24"/>
                      <w:szCs w:val="24"/>
                    </w:rPr>
                    <w:t>supporting young people</w:t>
                  </w:r>
                  <w:r w:rsidR="00731C12" w:rsidRPr="00F21AB9">
                    <w:rPr>
                      <w:sz w:val="24"/>
                      <w:szCs w:val="24"/>
                    </w:rPr>
                    <w:t>/Mystery shopping</w:t>
                  </w:r>
                </w:p>
              </w:tc>
              <w:tc>
                <w:tcPr>
                  <w:tcW w:w="2059" w:type="dxa"/>
                </w:tcPr>
                <w:p w14:paraId="7685B020" w14:textId="77777777" w:rsidR="00AD1972" w:rsidRPr="00F21AB9" w:rsidRDefault="00E97A8A" w:rsidP="00DC3634">
                  <w:pPr>
                    <w:jc w:val="left"/>
                    <w:rPr>
                      <w:rFonts w:cs="Arial"/>
                      <w:szCs w:val="24"/>
                    </w:rPr>
                  </w:pPr>
                  <w:r w:rsidRPr="00F21AB9">
                    <w:rPr>
                      <w:rFonts w:cs="Arial"/>
                      <w:szCs w:val="24"/>
                    </w:rPr>
                    <w:t xml:space="preserve">100% </w:t>
                  </w:r>
                </w:p>
                <w:p w14:paraId="22907519" w14:textId="77777777" w:rsidR="00DB64AC" w:rsidRPr="00F21AB9" w:rsidRDefault="00DB64AC" w:rsidP="00DC3634">
                  <w:pPr>
                    <w:jc w:val="left"/>
                    <w:rPr>
                      <w:rFonts w:cs="Arial"/>
                      <w:szCs w:val="24"/>
                    </w:rPr>
                  </w:pPr>
                </w:p>
                <w:p w14:paraId="78A05D6B" w14:textId="77777777" w:rsidR="00DB64AC" w:rsidRPr="00F21AB9" w:rsidRDefault="00DB64AC" w:rsidP="00DC3634">
                  <w:pPr>
                    <w:jc w:val="left"/>
                    <w:rPr>
                      <w:rFonts w:cs="Arial"/>
                      <w:szCs w:val="24"/>
                    </w:rPr>
                  </w:pPr>
                </w:p>
                <w:p w14:paraId="4189B464" w14:textId="77777777" w:rsidR="00DB64AC" w:rsidRPr="00F21AB9" w:rsidRDefault="00DB64AC" w:rsidP="00DC3634">
                  <w:pPr>
                    <w:jc w:val="left"/>
                    <w:rPr>
                      <w:rFonts w:cs="Arial"/>
                      <w:szCs w:val="24"/>
                    </w:rPr>
                  </w:pPr>
                </w:p>
                <w:p w14:paraId="00B43846" w14:textId="77777777" w:rsidR="00DB64AC" w:rsidRPr="00F21AB9" w:rsidRDefault="00DB64AC" w:rsidP="00DC3634">
                  <w:pPr>
                    <w:jc w:val="left"/>
                    <w:rPr>
                      <w:rFonts w:cs="Arial"/>
                      <w:szCs w:val="24"/>
                    </w:rPr>
                  </w:pPr>
                </w:p>
                <w:p w14:paraId="4377C1C7" w14:textId="77777777" w:rsidR="00DB64AC" w:rsidRPr="00F21AB9" w:rsidRDefault="00DB64AC" w:rsidP="00DC3634">
                  <w:pPr>
                    <w:jc w:val="left"/>
                    <w:rPr>
                      <w:rFonts w:cs="Arial"/>
                      <w:szCs w:val="24"/>
                    </w:rPr>
                  </w:pPr>
                </w:p>
                <w:p w14:paraId="74ED3A04" w14:textId="77777777" w:rsidR="00DB64AC" w:rsidRPr="00F21AB9" w:rsidRDefault="00DB64AC" w:rsidP="00DC3634">
                  <w:pPr>
                    <w:jc w:val="left"/>
                    <w:rPr>
                      <w:rFonts w:cs="Arial"/>
                      <w:szCs w:val="24"/>
                    </w:rPr>
                  </w:pPr>
                </w:p>
                <w:p w14:paraId="2843876C" w14:textId="77777777" w:rsidR="00DB64AC" w:rsidRPr="00F21AB9" w:rsidRDefault="00DB64AC" w:rsidP="00DC3634">
                  <w:pPr>
                    <w:jc w:val="left"/>
                    <w:rPr>
                      <w:rFonts w:cs="Arial"/>
                      <w:szCs w:val="24"/>
                    </w:rPr>
                  </w:pPr>
                </w:p>
                <w:p w14:paraId="489D80D2" w14:textId="77777777" w:rsidR="00101355" w:rsidRDefault="00101355" w:rsidP="00DC3634">
                  <w:pPr>
                    <w:jc w:val="left"/>
                    <w:rPr>
                      <w:rFonts w:cs="Arial"/>
                      <w:szCs w:val="24"/>
                    </w:rPr>
                  </w:pPr>
                </w:p>
                <w:p w14:paraId="5841FC04" w14:textId="77777777" w:rsidR="00101355" w:rsidRDefault="00101355" w:rsidP="00DC3634">
                  <w:pPr>
                    <w:jc w:val="left"/>
                    <w:rPr>
                      <w:rFonts w:cs="Arial"/>
                      <w:szCs w:val="24"/>
                    </w:rPr>
                  </w:pPr>
                </w:p>
                <w:p w14:paraId="746657BC" w14:textId="77777777" w:rsidR="00101355" w:rsidRDefault="00101355" w:rsidP="00DC3634">
                  <w:pPr>
                    <w:jc w:val="left"/>
                    <w:rPr>
                      <w:rFonts w:cs="Arial"/>
                      <w:szCs w:val="24"/>
                    </w:rPr>
                  </w:pPr>
                </w:p>
                <w:p w14:paraId="0D30EE1E" w14:textId="766DFBEB" w:rsidR="00DB64AC" w:rsidRPr="00F21AB9" w:rsidRDefault="00DB64AC" w:rsidP="00DC3634">
                  <w:pPr>
                    <w:jc w:val="left"/>
                    <w:rPr>
                      <w:rFonts w:cs="Arial"/>
                      <w:szCs w:val="24"/>
                    </w:rPr>
                  </w:pPr>
                  <w:r w:rsidRPr="00F21AB9">
                    <w:rPr>
                      <w:rFonts w:cs="Arial"/>
                      <w:szCs w:val="24"/>
                    </w:rPr>
                    <w:t>100%</w:t>
                  </w:r>
                </w:p>
              </w:tc>
              <w:tc>
                <w:tcPr>
                  <w:tcW w:w="2029" w:type="dxa"/>
                </w:tcPr>
                <w:p w14:paraId="73405E7A" w14:textId="7ECB7F26" w:rsidR="00AD1972" w:rsidRPr="00F21AB9" w:rsidRDefault="00045C2A" w:rsidP="00DC3634">
                  <w:pPr>
                    <w:pStyle w:val="BodyText"/>
                    <w:rPr>
                      <w:sz w:val="24"/>
                      <w:szCs w:val="24"/>
                    </w:rPr>
                  </w:pPr>
                  <w:r w:rsidRPr="00F21AB9">
                    <w:rPr>
                      <w:sz w:val="24"/>
                      <w:szCs w:val="24"/>
                    </w:rPr>
                    <w:t>M</w:t>
                  </w:r>
                  <w:r w:rsidR="002E3B03" w:rsidRPr="00F21AB9">
                    <w:rPr>
                      <w:sz w:val="24"/>
                      <w:szCs w:val="24"/>
                    </w:rPr>
                    <w:t>eeting with the commissioner to discuss issues. Failure to improve may result in termination of the contract.</w:t>
                  </w:r>
                </w:p>
                <w:p w14:paraId="4045EF2E" w14:textId="77777777" w:rsidR="00DB64AC" w:rsidRPr="00F21AB9" w:rsidRDefault="00DB64AC" w:rsidP="00DC3634">
                  <w:pPr>
                    <w:pStyle w:val="BodyText"/>
                    <w:rPr>
                      <w:sz w:val="24"/>
                      <w:szCs w:val="24"/>
                    </w:rPr>
                  </w:pPr>
                </w:p>
                <w:p w14:paraId="7C0DAC6D" w14:textId="77777777" w:rsidR="00F35E14" w:rsidRDefault="00F35E14" w:rsidP="00045C2A">
                  <w:pPr>
                    <w:pStyle w:val="BodyText"/>
                    <w:rPr>
                      <w:sz w:val="24"/>
                      <w:szCs w:val="24"/>
                    </w:rPr>
                  </w:pPr>
                </w:p>
                <w:p w14:paraId="1F637717" w14:textId="77777777" w:rsidR="00F35E14" w:rsidRDefault="00F35E14" w:rsidP="00045C2A">
                  <w:pPr>
                    <w:pStyle w:val="BodyText"/>
                    <w:rPr>
                      <w:sz w:val="24"/>
                      <w:szCs w:val="24"/>
                    </w:rPr>
                  </w:pPr>
                </w:p>
                <w:p w14:paraId="292BA41B" w14:textId="339CBF4B" w:rsidR="00DB64AC" w:rsidRPr="00F21AB9" w:rsidRDefault="00045C2A" w:rsidP="00045C2A">
                  <w:pPr>
                    <w:pStyle w:val="BodyText"/>
                    <w:rPr>
                      <w:sz w:val="24"/>
                      <w:szCs w:val="24"/>
                    </w:rPr>
                  </w:pPr>
                  <w:r w:rsidRPr="00F21AB9">
                    <w:rPr>
                      <w:sz w:val="24"/>
                      <w:szCs w:val="24"/>
                    </w:rPr>
                    <w:t>M</w:t>
                  </w:r>
                  <w:r w:rsidR="00DB64AC" w:rsidRPr="00F21AB9">
                    <w:rPr>
                      <w:sz w:val="24"/>
                      <w:szCs w:val="24"/>
                    </w:rPr>
                    <w:t>eeting with the commissioner to discuss issues. Failure to improve may result in termination of the contract.</w:t>
                  </w:r>
                </w:p>
              </w:tc>
            </w:tr>
          </w:tbl>
          <w:p w14:paraId="565D0C7B" w14:textId="77777777" w:rsidR="00310AB3" w:rsidRPr="00F21AB9" w:rsidRDefault="00310AB3" w:rsidP="000B011F">
            <w:pPr>
              <w:pStyle w:val="BodyText"/>
              <w:jc w:val="both"/>
              <w:rPr>
                <w:b/>
                <w:bCs/>
                <w:sz w:val="24"/>
                <w:szCs w:val="24"/>
              </w:rPr>
            </w:pPr>
          </w:p>
        </w:tc>
      </w:tr>
      <w:tr w:rsidR="00205FA0" w:rsidRPr="00F21AB9" w14:paraId="354A98C6" w14:textId="77777777" w:rsidTr="007D01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2" w:type="dxa"/>
        </w:trPr>
        <w:tc>
          <w:tcPr>
            <w:tcW w:w="9016" w:type="dxa"/>
            <w:gridSpan w:val="2"/>
            <w:tcBorders>
              <w:top w:val="single" w:sz="4" w:space="0" w:color="999999"/>
              <w:left w:val="single" w:sz="4" w:space="0" w:color="999999"/>
              <w:bottom w:val="single" w:sz="4" w:space="0" w:color="999999"/>
              <w:right w:val="single" w:sz="4" w:space="0" w:color="999999"/>
            </w:tcBorders>
            <w:shd w:val="clear" w:color="auto" w:fill="666666"/>
          </w:tcPr>
          <w:p w14:paraId="573CA9F5" w14:textId="77777777" w:rsidR="00205FA0" w:rsidRPr="00F21AB9" w:rsidRDefault="00205FA0" w:rsidP="003C588F">
            <w:pPr>
              <w:pStyle w:val="BodyText"/>
              <w:jc w:val="both"/>
              <w:rPr>
                <w:color w:val="FFFFFF"/>
                <w:sz w:val="24"/>
                <w:szCs w:val="24"/>
                <w:u w:val="single"/>
              </w:rPr>
            </w:pPr>
          </w:p>
          <w:p w14:paraId="4D50F16C" w14:textId="536447FC" w:rsidR="00205FA0" w:rsidRPr="00F21AB9" w:rsidRDefault="00205FA0" w:rsidP="003C588F">
            <w:pPr>
              <w:pStyle w:val="BodyText"/>
              <w:jc w:val="both"/>
              <w:rPr>
                <w:color w:val="FFFFFF"/>
                <w:sz w:val="24"/>
                <w:szCs w:val="24"/>
                <w:u w:val="single"/>
              </w:rPr>
            </w:pPr>
            <w:r w:rsidRPr="00F21AB9">
              <w:rPr>
                <w:color w:val="FFFF00"/>
                <w:sz w:val="24"/>
                <w:szCs w:val="24"/>
              </w:rPr>
              <w:t>6. Details of Review Meetings</w:t>
            </w:r>
          </w:p>
        </w:tc>
      </w:tr>
      <w:tr w:rsidR="00205FA0" w:rsidRPr="00F21AB9" w14:paraId="47415EF7" w14:textId="77777777" w:rsidTr="007D01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2" w:type="dxa"/>
        </w:trPr>
        <w:tc>
          <w:tcPr>
            <w:tcW w:w="9016" w:type="dxa"/>
            <w:gridSpan w:val="2"/>
            <w:tcBorders>
              <w:top w:val="single" w:sz="4" w:space="0" w:color="999999"/>
              <w:left w:val="single" w:sz="4" w:space="0" w:color="999999"/>
              <w:bottom w:val="single" w:sz="4" w:space="0" w:color="999999"/>
              <w:right w:val="single" w:sz="4" w:space="0" w:color="999999"/>
            </w:tcBorders>
          </w:tcPr>
          <w:p w14:paraId="6012AB45" w14:textId="521816C3" w:rsidR="00205FA0" w:rsidRPr="00F21AB9" w:rsidRDefault="0024389E" w:rsidP="00C125FF">
            <w:pPr>
              <w:jc w:val="left"/>
              <w:rPr>
                <w:rFonts w:cs="Arial"/>
                <w:b/>
                <w:bCs/>
                <w:szCs w:val="24"/>
              </w:rPr>
            </w:pPr>
            <w:r w:rsidRPr="00F21AB9">
              <w:rPr>
                <w:rFonts w:cs="Arial"/>
                <w:szCs w:val="24"/>
              </w:rPr>
              <w:t>Service activity is monitored quarterly by the Public Health team. Mee</w:t>
            </w:r>
            <w:r w:rsidR="003571B0" w:rsidRPr="00F21AB9">
              <w:rPr>
                <w:rFonts w:cs="Arial"/>
                <w:szCs w:val="24"/>
              </w:rPr>
              <w:t>tings with individual pharmacies will be set up where necessary.</w:t>
            </w:r>
          </w:p>
        </w:tc>
      </w:tr>
    </w:tbl>
    <w:p w14:paraId="3DA8FBD5" w14:textId="77777777" w:rsidR="00E94A4D" w:rsidRPr="00F21AB9" w:rsidRDefault="00E94A4D" w:rsidP="009E53A3">
      <w:pPr>
        <w:pStyle w:val="Part"/>
        <w:rPr>
          <w:rFonts w:cs="Arial"/>
          <w:sz w:val="24"/>
          <w:u w:val="single"/>
        </w:rPr>
      </w:pPr>
    </w:p>
    <w:sectPr w:rsidR="00E94A4D" w:rsidRPr="00F21AB9">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BA35C" w14:textId="77777777" w:rsidR="00D65E3D" w:rsidRDefault="00D65E3D" w:rsidP="00B1400C">
      <w:r>
        <w:separator/>
      </w:r>
    </w:p>
  </w:endnote>
  <w:endnote w:type="continuationSeparator" w:id="0">
    <w:p w14:paraId="7DA277A7" w14:textId="77777777" w:rsidR="00D65E3D" w:rsidRDefault="00D65E3D" w:rsidP="00B14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
    <w:panose1 w:val="00000000000000000000"/>
    <w:charset w:val="80"/>
    <w:family w:val="auto"/>
    <w:notTrueType/>
    <w:pitch w:val="variable"/>
    <w:sig w:usb0="00000001" w:usb1="08070000" w:usb2="00000010" w:usb3="00000000" w:csb0="00020000"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1250646"/>
      <w:docPartObj>
        <w:docPartGallery w:val="Page Numbers (Bottom of Page)"/>
        <w:docPartUnique/>
      </w:docPartObj>
    </w:sdtPr>
    <w:sdtEndPr>
      <w:rPr>
        <w:noProof/>
      </w:rPr>
    </w:sdtEndPr>
    <w:sdtContent>
      <w:p w14:paraId="1FE16F74" w14:textId="1E038C6B" w:rsidR="00B1400C" w:rsidRDefault="00B1400C" w:rsidP="004D1142">
        <w:pPr>
          <w:pStyle w:val="Footer"/>
          <w:jc w:val="right"/>
        </w:pPr>
        <w:r>
          <w:fldChar w:fldCharType="begin"/>
        </w:r>
        <w:r>
          <w:instrText xml:space="preserve"> PAGE   \* MERGEFORMAT </w:instrText>
        </w:r>
        <w:r>
          <w:fldChar w:fldCharType="separate"/>
        </w:r>
        <w:r>
          <w:rPr>
            <w:noProof/>
          </w:rPr>
          <w:t>7</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EDACA" w14:textId="77777777" w:rsidR="00D65E3D" w:rsidRDefault="00D65E3D" w:rsidP="00B1400C">
      <w:r>
        <w:separator/>
      </w:r>
    </w:p>
  </w:footnote>
  <w:footnote w:type="continuationSeparator" w:id="0">
    <w:p w14:paraId="633AA87A" w14:textId="77777777" w:rsidR="00D65E3D" w:rsidRDefault="00D65E3D" w:rsidP="00B140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A429E"/>
    <w:multiLevelType w:val="hybridMultilevel"/>
    <w:tmpl w:val="CC985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A32EAE"/>
    <w:multiLevelType w:val="hybridMultilevel"/>
    <w:tmpl w:val="26EA2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4F0417"/>
    <w:multiLevelType w:val="hybridMultilevel"/>
    <w:tmpl w:val="2760F4E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812B09"/>
    <w:multiLevelType w:val="hybridMultilevel"/>
    <w:tmpl w:val="66287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42117B"/>
    <w:multiLevelType w:val="hybridMultilevel"/>
    <w:tmpl w:val="9C281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CF6689"/>
    <w:multiLevelType w:val="hybridMultilevel"/>
    <w:tmpl w:val="CD560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615E8E"/>
    <w:multiLevelType w:val="hybridMultilevel"/>
    <w:tmpl w:val="517A4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066508"/>
    <w:multiLevelType w:val="hybridMultilevel"/>
    <w:tmpl w:val="E8BAB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475E0A"/>
    <w:multiLevelType w:val="hybridMultilevel"/>
    <w:tmpl w:val="D2B2A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4B345F"/>
    <w:multiLevelType w:val="hybridMultilevel"/>
    <w:tmpl w:val="D47C1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037672"/>
    <w:multiLevelType w:val="hybridMultilevel"/>
    <w:tmpl w:val="6D328F0C"/>
    <w:lvl w:ilvl="0" w:tplc="08090001">
      <w:start w:val="1"/>
      <w:numFmt w:val="bullet"/>
      <w:lvlText w:val=""/>
      <w:lvlJc w:val="left"/>
      <w:pPr>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2F447031"/>
    <w:multiLevelType w:val="hybridMultilevel"/>
    <w:tmpl w:val="B5C0F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336255"/>
    <w:multiLevelType w:val="hybridMultilevel"/>
    <w:tmpl w:val="46FA5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8F727E"/>
    <w:multiLevelType w:val="hybridMultilevel"/>
    <w:tmpl w:val="14C06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E613D5"/>
    <w:multiLevelType w:val="multilevel"/>
    <w:tmpl w:val="691E3FB4"/>
    <w:lvl w:ilvl="0">
      <w:start w:val="1"/>
      <w:numFmt w:val="upperLetter"/>
      <w:lvlText w:val="%1."/>
      <w:lvlJc w:val="left"/>
      <w:pPr>
        <w:tabs>
          <w:tab w:val="num" w:pos="720"/>
        </w:tabs>
        <w:ind w:left="720" w:hanging="720"/>
      </w:pPr>
      <w:rPr>
        <w:rFonts w:hint="default"/>
      </w:rPr>
    </w:lvl>
    <w:lvl w:ilvl="1">
      <w:start w:val="1"/>
      <w:numFmt w:val="decimal"/>
      <w:lvlText w:val="B%2."/>
      <w:lvlJc w:val="left"/>
      <w:pPr>
        <w:tabs>
          <w:tab w:val="num" w:pos="1008"/>
        </w:tabs>
        <w:ind w:left="1008" w:hanging="1008"/>
      </w:pPr>
      <w:rPr>
        <w:rFonts w:hint="default"/>
        <w:b/>
        <w:i w:val="0"/>
      </w:rPr>
    </w:lvl>
    <w:lvl w:ilvl="2">
      <w:start w:val="1"/>
      <w:numFmt w:val="decimal"/>
      <w:lvlText w:val="B%2.%3."/>
      <w:lvlJc w:val="left"/>
      <w:pPr>
        <w:tabs>
          <w:tab w:val="num" w:pos="1008"/>
        </w:tabs>
        <w:ind w:left="1008" w:hanging="1008"/>
      </w:pPr>
      <w:rPr>
        <w:rFonts w:hint="default"/>
        <w:b w:val="0"/>
        <w:i w:val="0"/>
        <w:sz w:val="20"/>
        <w:szCs w:val="20"/>
      </w:rPr>
    </w:lvl>
    <w:lvl w:ilvl="3">
      <w:start w:val="1"/>
      <w:numFmt w:val="lowerLetter"/>
      <w:lvlText w:val="%4)"/>
      <w:lvlJc w:val="left"/>
      <w:pPr>
        <w:tabs>
          <w:tab w:val="num" w:pos="1859"/>
        </w:tabs>
        <w:ind w:left="1859" w:hanging="1008"/>
      </w:pPr>
      <w:rPr>
        <w:rFonts w:hint="default"/>
        <w:b w:val="0"/>
      </w:rPr>
    </w:lvl>
    <w:lvl w:ilvl="4">
      <w:start w:val="1"/>
      <w:numFmt w:val="lowerRoman"/>
      <w:lvlText w:val="(%5)"/>
      <w:lvlJc w:val="left"/>
      <w:pPr>
        <w:tabs>
          <w:tab w:val="num" w:pos="3024"/>
        </w:tabs>
        <w:ind w:left="3024" w:hanging="1008"/>
      </w:pPr>
      <w:rPr>
        <w:rFonts w:hint="default"/>
        <w:sz w:val="20"/>
        <w:szCs w:val="20"/>
      </w:rPr>
    </w:lvl>
    <w:lvl w:ilvl="5">
      <w:start w:val="1"/>
      <w:numFmt w:val="upperLetter"/>
      <w:lvlText w:val="%1%2%6"/>
      <w:lvlJc w:val="left"/>
      <w:pPr>
        <w:tabs>
          <w:tab w:val="num" w:pos="1008"/>
        </w:tabs>
        <w:ind w:left="1008" w:hanging="1008"/>
      </w:pPr>
      <w:rPr>
        <w:rFonts w:hint="default"/>
      </w:rPr>
    </w:lvl>
    <w:lvl w:ilvl="6">
      <w:start w:val="1"/>
      <w:numFmt w:val="decimal"/>
      <w:lvlText w:val="%1%2%3%6.%7"/>
      <w:lvlJc w:val="left"/>
      <w:pPr>
        <w:tabs>
          <w:tab w:val="num" w:pos="1008"/>
        </w:tabs>
        <w:ind w:left="1008" w:hanging="1008"/>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3A3F347B"/>
    <w:multiLevelType w:val="hybridMultilevel"/>
    <w:tmpl w:val="1AEE7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F61A6A"/>
    <w:multiLevelType w:val="hybridMultilevel"/>
    <w:tmpl w:val="EB84E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5408DC"/>
    <w:multiLevelType w:val="hybridMultilevel"/>
    <w:tmpl w:val="FC668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F92493"/>
    <w:multiLevelType w:val="hybridMultilevel"/>
    <w:tmpl w:val="9AA8B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326E10"/>
    <w:multiLevelType w:val="hybridMultilevel"/>
    <w:tmpl w:val="40045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696152"/>
    <w:multiLevelType w:val="hybridMultilevel"/>
    <w:tmpl w:val="878C6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D5C758F"/>
    <w:multiLevelType w:val="hybridMultilevel"/>
    <w:tmpl w:val="756E8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C005CA"/>
    <w:multiLevelType w:val="hybridMultilevel"/>
    <w:tmpl w:val="6FF44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4A3D92"/>
    <w:multiLevelType w:val="hybridMultilevel"/>
    <w:tmpl w:val="840A0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D5034D"/>
    <w:multiLevelType w:val="hybridMultilevel"/>
    <w:tmpl w:val="BB6A4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FA32E8D"/>
    <w:multiLevelType w:val="multilevel"/>
    <w:tmpl w:val="484AA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5D7222"/>
    <w:multiLevelType w:val="hybridMultilevel"/>
    <w:tmpl w:val="D8D85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C862248"/>
    <w:multiLevelType w:val="hybridMultilevel"/>
    <w:tmpl w:val="DCCE8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DBF10BD"/>
    <w:multiLevelType w:val="hybridMultilevel"/>
    <w:tmpl w:val="1988DB9E"/>
    <w:lvl w:ilvl="0" w:tplc="C666F16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15764CC"/>
    <w:multiLevelType w:val="hybridMultilevel"/>
    <w:tmpl w:val="921491BC"/>
    <w:lvl w:ilvl="0" w:tplc="4FA6EFAC">
      <w:start w:val="1"/>
      <w:numFmt w:val="decimal"/>
      <w:lvlText w:val="%1."/>
      <w:lvlJc w:val="left"/>
      <w:pPr>
        <w:ind w:left="360" w:hanging="360"/>
      </w:pPr>
      <w:rPr>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74A64389"/>
    <w:multiLevelType w:val="hybridMultilevel"/>
    <w:tmpl w:val="285E2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5713D55"/>
    <w:multiLevelType w:val="hybridMultilevel"/>
    <w:tmpl w:val="84EAAE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6B305A3"/>
    <w:multiLevelType w:val="hybridMultilevel"/>
    <w:tmpl w:val="D2743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82D36E4"/>
    <w:multiLevelType w:val="hybridMultilevel"/>
    <w:tmpl w:val="339A0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FD90D55"/>
    <w:multiLevelType w:val="hybridMultilevel"/>
    <w:tmpl w:val="C85AB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0674681">
    <w:abstractNumId w:val="4"/>
  </w:num>
  <w:num w:numId="2" w16cid:durableId="921451242">
    <w:abstractNumId w:val="2"/>
  </w:num>
  <w:num w:numId="3" w16cid:durableId="221141362">
    <w:abstractNumId w:val="29"/>
  </w:num>
  <w:num w:numId="4" w16cid:durableId="1040084339">
    <w:abstractNumId w:val="23"/>
  </w:num>
  <w:num w:numId="5" w16cid:durableId="24409043">
    <w:abstractNumId w:val="26"/>
  </w:num>
  <w:num w:numId="6" w16cid:durableId="862548102">
    <w:abstractNumId w:val="19"/>
  </w:num>
  <w:num w:numId="7" w16cid:durableId="462045233">
    <w:abstractNumId w:val="0"/>
  </w:num>
  <w:num w:numId="8" w16cid:durableId="585845003">
    <w:abstractNumId w:val="15"/>
  </w:num>
  <w:num w:numId="9" w16cid:durableId="122774083">
    <w:abstractNumId w:val="17"/>
  </w:num>
  <w:num w:numId="10" w16cid:durableId="96100137">
    <w:abstractNumId w:val="32"/>
  </w:num>
  <w:num w:numId="11" w16cid:durableId="8526340">
    <w:abstractNumId w:val="12"/>
  </w:num>
  <w:num w:numId="12" w16cid:durableId="1121146521">
    <w:abstractNumId w:val="22"/>
  </w:num>
  <w:num w:numId="13" w16cid:durableId="436566360">
    <w:abstractNumId w:val="28"/>
  </w:num>
  <w:num w:numId="14" w16cid:durableId="1420254572">
    <w:abstractNumId w:val="7"/>
  </w:num>
  <w:num w:numId="15" w16cid:durableId="921794262">
    <w:abstractNumId w:val="20"/>
  </w:num>
  <w:num w:numId="16" w16cid:durableId="1007515794">
    <w:abstractNumId w:val="25"/>
  </w:num>
  <w:num w:numId="17" w16cid:durableId="388498491">
    <w:abstractNumId w:val="1"/>
  </w:num>
  <w:num w:numId="18" w16cid:durableId="32582918">
    <w:abstractNumId w:val="21"/>
  </w:num>
  <w:num w:numId="19" w16cid:durableId="2108187905">
    <w:abstractNumId w:val="18"/>
  </w:num>
  <w:num w:numId="20" w16cid:durableId="348332896">
    <w:abstractNumId w:val="3"/>
  </w:num>
  <w:num w:numId="21" w16cid:durableId="720010396">
    <w:abstractNumId w:val="34"/>
  </w:num>
  <w:num w:numId="22" w16cid:durableId="224875228">
    <w:abstractNumId w:val="33"/>
  </w:num>
  <w:num w:numId="23" w16cid:durableId="1958635339">
    <w:abstractNumId w:val="24"/>
  </w:num>
  <w:num w:numId="24" w16cid:durableId="389504915">
    <w:abstractNumId w:val="30"/>
  </w:num>
  <w:num w:numId="25" w16cid:durableId="1353995624">
    <w:abstractNumId w:val="27"/>
  </w:num>
  <w:num w:numId="26" w16cid:durableId="1942104960">
    <w:abstractNumId w:val="8"/>
  </w:num>
  <w:num w:numId="27" w16cid:durableId="1952737717">
    <w:abstractNumId w:val="6"/>
  </w:num>
  <w:num w:numId="28" w16cid:durableId="208150324">
    <w:abstractNumId w:val="9"/>
  </w:num>
  <w:num w:numId="29" w16cid:durableId="195973583">
    <w:abstractNumId w:val="5"/>
  </w:num>
  <w:num w:numId="30" w16cid:durableId="1611545434">
    <w:abstractNumId w:val="13"/>
  </w:num>
  <w:num w:numId="31" w16cid:durableId="267079195">
    <w:abstractNumId w:val="31"/>
  </w:num>
  <w:num w:numId="32" w16cid:durableId="123624766">
    <w:abstractNumId w:val="10"/>
  </w:num>
  <w:num w:numId="33" w16cid:durableId="561676131">
    <w:abstractNumId w:val="11"/>
  </w:num>
  <w:num w:numId="34" w16cid:durableId="69870586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4906587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A4D"/>
    <w:rsid w:val="00013588"/>
    <w:rsid w:val="000379BB"/>
    <w:rsid w:val="00045C2A"/>
    <w:rsid w:val="00060594"/>
    <w:rsid w:val="000651B9"/>
    <w:rsid w:val="00070F5E"/>
    <w:rsid w:val="00082F52"/>
    <w:rsid w:val="000928EF"/>
    <w:rsid w:val="000A0DCB"/>
    <w:rsid w:val="000A2E1C"/>
    <w:rsid w:val="000B011F"/>
    <w:rsid w:val="000D6583"/>
    <w:rsid w:val="00101355"/>
    <w:rsid w:val="0014460B"/>
    <w:rsid w:val="00152455"/>
    <w:rsid w:val="001531C6"/>
    <w:rsid w:val="00155394"/>
    <w:rsid w:val="001553F8"/>
    <w:rsid w:val="00164F5C"/>
    <w:rsid w:val="00183E8F"/>
    <w:rsid w:val="001878A4"/>
    <w:rsid w:val="00190615"/>
    <w:rsid w:val="001973AF"/>
    <w:rsid w:val="001A76F6"/>
    <w:rsid w:val="001C0A38"/>
    <w:rsid w:val="001C1E15"/>
    <w:rsid w:val="001C2001"/>
    <w:rsid w:val="001C444B"/>
    <w:rsid w:val="001D5F1B"/>
    <w:rsid w:val="001E234F"/>
    <w:rsid w:val="001E321A"/>
    <w:rsid w:val="001F568C"/>
    <w:rsid w:val="001F78AD"/>
    <w:rsid w:val="00205FA0"/>
    <w:rsid w:val="0021141C"/>
    <w:rsid w:val="00223297"/>
    <w:rsid w:val="002314E5"/>
    <w:rsid w:val="00231DC9"/>
    <w:rsid w:val="002404F2"/>
    <w:rsid w:val="002435DA"/>
    <w:rsid w:val="0024389E"/>
    <w:rsid w:val="00257AA3"/>
    <w:rsid w:val="00261C09"/>
    <w:rsid w:val="002A5690"/>
    <w:rsid w:val="002C060B"/>
    <w:rsid w:val="002D6AD2"/>
    <w:rsid w:val="002E38D8"/>
    <w:rsid w:val="002E3B03"/>
    <w:rsid w:val="002E6770"/>
    <w:rsid w:val="002E6A72"/>
    <w:rsid w:val="002F0BBF"/>
    <w:rsid w:val="002F6059"/>
    <w:rsid w:val="003017DD"/>
    <w:rsid w:val="00304232"/>
    <w:rsid w:val="00310AB3"/>
    <w:rsid w:val="00316943"/>
    <w:rsid w:val="00327CA5"/>
    <w:rsid w:val="003361E3"/>
    <w:rsid w:val="0034713E"/>
    <w:rsid w:val="0034773C"/>
    <w:rsid w:val="00353E3C"/>
    <w:rsid w:val="003571B0"/>
    <w:rsid w:val="00373671"/>
    <w:rsid w:val="00384C90"/>
    <w:rsid w:val="00395C17"/>
    <w:rsid w:val="003A2DF3"/>
    <w:rsid w:val="003A4B79"/>
    <w:rsid w:val="003B1760"/>
    <w:rsid w:val="003C127F"/>
    <w:rsid w:val="003C6505"/>
    <w:rsid w:val="003E267B"/>
    <w:rsid w:val="00413064"/>
    <w:rsid w:val="00417E7D"/>
    <w:rsid w:val="00421D1D"/>
    <w:rsid w:val="004264F7"/>
    <w:rsid w:val="00436033"/>
    <w:rsid w:val="00447362"/>
    <w:rsid w:val="00450269"/>
    <w:rsid w:val="00450A42"/>
    <w:rsid w:val="004830C7"/>
    <w:rsid w:val="00483BEB"/>
    <w:rsid w:val="00486692"/>
    <w:rsid w:val="004905CA"/>
    <w:rsid w:val="004A5BAF"/>
    <w:rsid w:val="004B1CDA"/>
    <w:rsid w:val="004C381E"/>
    <w:rsid w:val="004D1142"/>
    <w:rsid w:val="004F2DC0"/>
    <w:rsid w:val="004F70D4"/>
    <w:rsid w:val="00500D95"/>
    <w:rsid w:val="00502ABB"/>
    <w:rsid w:val="00503FD5"/>
    <w:rsid w:val="0050767F"/>
    <w:rsid w:val="005207BE"/>
    <w:rsid w:val="00547607"/>
    <w:rsid w:val="00550820"/>
    <w:rsid w:val="00557010"/>
    <w:rsid w:val="00566EEE"/>
    <w:rsid w:val="0057062E"/>
    <w:rsid w:val="005737B0"/>
    <w:rsid w:val="00575801"/>
    <w:rsid w:val="005869D0"/>
    <w:rsid w:val="00586A59"/>
    <w:rsid w:val="005961D4"/>
    <w:rsid w:val="00596ECC"/>
    <w:rsid w:val="005A4D3E"/>
    <w:rsid w:val="005E2E0B"/>
    <w:rsid w:val="005F7A5F"/>
    <w:rsid w:val="00600488"/>
    <w:rsid w:val="00606313"/>
    <w:rsid w:val="006266E4"/>
    <w:rsid w:val="006306E5"/>
    <w:rsid w:val="00630EB1"/>
    <w:rsid w:val="00631B5D"/>
    <w:rsid w:val="00685592"/>
    <w:rsid w:val="00690DAC"/>
    <w:rsid w:val="006A6ECE"/>
    <w:rsid w:val="006B1D5F"/>
    <w:rsid w:val="006B457B"/>
    <w:rsid w:val="006B7677"/>
    <w:rsid w:val="006C0DD4"/>
    <w:rsid w:val="006D133C"/>
    <w:rsid w:val="006D1765"/>
    <w:rsid w:val="006D579D"/>
    <w:rsid w:val="006E3B7D"/>
    <w:rsid w:val="006E4F75"/>
    <w:rsid w:val="006E64B6"/>
    <w:rsid w:val="006F06FC"/>
    <w:rsid w:val="006F4BD0"/>
    <w:rsid w:val="006F79E2"/>
    <w:rsid w:val="007010A4"/>
    <w:rsid w:val="00715EE0"/>
    <w:rsid w:val="0071758B"/>
    <w:rsid w:val="00731C12"/>
    <w:rsid w:val="00747AAF"/>
    <w:rsid w:val="00760A86"/>
    <w:rsid w:val="007645D0"/>
    <w:rsid w:val="00767E95"/>
    <w:rsid w:val="007718EF"/>
    <w:rsid w:val="00783599"/>
    <w:rsid w:val="0078753C"/>
    <w:rsid w:val="00790E18"/>
    <w:rsid w:val="007914E0"/>
    <w:rsid w:val="00795480"/>
    <w:rsid w:val="007B0604"/>
    <w:rsid w:val="007B3A14"/>
    <w:rsid w:val="007B52ED"/>
    <w:rsid w:val="007B5C1A"/>
    <w:rsid w:val="007B62C5"/>
    <w:rsid w:val="007D015B"/>
    <w:rsid w:val="007D404F"/>
    <w:rsid w:val="007F7CF1"/>
    <w:rsid w:val="00802A5C"/>
    <w:rsid w:val="008203C9"/>
    <w:rsid w:val="00822EA1"/>
    <w:rsid w:val="00826D74"/>
    <w:rsid w:val="00827713"/>
    <w:rsid w:val="00834E09"/>
    <w:rsid w:val="00836DDE"/>
    <w:rsid w:val="00844D06"/>
    <w:rsid w:val="008606FE"/>
    <w:rsid w:val="008643FB"/>
    <w:rsid w:val="008B3296"/>
    <w:rsid w:val="008C4D96"/>
    <w:rsid w:val="008D039C"/>
    <w:rsid w:val="008D31E5"/>
    <w:rsid w:val="008E5E0B"/>
    <w:rsid w:val="00917508"/>
    <w:rsid w:val="009264B1"/>
    <w:rsid w:val="0095072B"/>
    <w:rsid w:val="00953B72"/>
    <w:rsid w:val="009968A6"/>
    <w:rsid w:val="009A035C"/>
    <w:rsid w:val="009A4186"/>
    <w:rsid w:val="009B2FA2"/>
    <w:rsid w:val="009B46BC"/>
    <w:rsid w:val="009C7D09"/>
    <w:rsid w:val="009E53A3"/>
    <w:rsid w:val="00A47965"/>
    <w:rsid w:val="00A5192B"/>
    <w:rsid w:val="00A53A56"/>
    <w:rsid w:val="00AA606D"/>
    <w:rsid w:val="00AA6A68"/>
    <w:rsid w:val="00AA7CBF"/>
    <w:rsid w:val="00AB3BE4"/>
    <w:rsid w:val="00AC1871"/>
    <w:rsid w:val="00AD1972"/>
    <w:rsid w:val="00AE2091"/>
    <w:rsid w:val="00AE4254"/>
    <w:rsid w:val="00AE5E20"/>
    <w:rsid w:val="00B03E68"/>
    <w:rsid w:val="00B07AEB"/>
    <w:rsid w:val="00B1400C"/>
    <w:rsid w:val="00B35549"/>
    <w:rsid w:val="00B40357"/>
    <w:rsid w:val="00B53D8A"/>
    <w:rsid w:val="00B74C47"/>
    <w:rsid w:val="00B80AC9"/>
    <w:rsid w:val="00B80DD1"/>
    <w:rsid w:val="00B87FEB"/>
    <w:rsid w:val="00B90414"/>
    <w:rsid w:val="00BA1C07"/>
    <w:rsid w:val="00BB4DA4"/>
    <w:rsid w:val="00BC13C9"/>
    <w:rsid w:val="00BC6983"/>
    <w:rsid w:val="00BD0F9D"/>
    <w:rsid w:val="00BD5504"/>
    <w:rsid w:val="00BD6DF5"/>
    <w:rsid w:val="00BE777C"/>
    <w:rsid w:val="00C011E9"/>
    <w:rsid w:val="00C047F2"/>
    <w:rsid w:val="00C125FF"/>
    <w:rsid w:val="00C24168"/>
    <w:rsid w:val="00C427DF"/>
    <w:rsid w:val="00C5026F"/>
    <w:rsid w:val="00C52B80"/>
    <w:rsid w:val="00C85B3B"/>
    <w:rsid w:val="00C96812"/>
    <w:rsid w:val="00CA3770"/>
    <w:rsid w:val="00CA3B5E"/>
    <w:rsid w:val="00CB6A5D"/>
    <w:rsid w:val="00CE0CBA"/>
    <w:rsid w:val="00CE305A"/>
    <w:rsid w:val="00CE7069"/>
    <w:rsid w:val="00CF58AE"/>
    <w:rsid w:val="00D06B2F"/>
    <w:rsid w:val="00D12AD3"/>
    <w:rsid w:val="00D14760"/>
    <w:rsid w:val="00D44D61"/>
    <w:rsid w:val="00D64CCD"/>
    <w:rsid w:val="00D65E3D"/>
    <w:rsid w:val="00D752F6"/>
    <w:rsid w:val="00D8706F"/>
    <w:rsid w:val="00DB64AC"/>
    <w:rsid w:val="00DC2E99"/>
    <w:rsid w:val="00DC3634"/>
    <w:rsid w:val="00DD1092"/>
    <w:rsid w:val="00DE21B9"/>
    <w:rsid w:val="00DF434D"/>
    <w:rsid w:val="00E31A68"/>
    <w:rsid w:val="00E40846"/>
    <w:rsid w:val="00E63841"/>
    <w:rsid w:val="00E933D4"/>
    <w:rsid w:val="00E93916"/>
    <w:rsid w:val="00E94A4D"/>
    <w:rsid w:val="00E97A8A"/>
    <w:rsid w:val="00EA7CBB"/>
    <w:rsid w:val="00F11BD2"/>
    <w:rsid w:val="00F13ABF"/>
    <w:rsid w:val="00F21AB9"/>
    <w:rsid w:val="00F32835"/>
    <w:rsid w:val="00F35E14"/>
    <w:rsid w:val="00F4621F"/>
    <w:rsid w:val="00F56D89"/>
    <w:rsid w:val="00F66211"/>
    <w:rsid w:val="00F80149"/>
    <w:rsid w:val="00F835A9"/>
    <w:rsid w:val="00F857C4"/>
    <w:rsid w:val="00F93164"/>
    <w:rsid w:val="00F95953"/>
    <w:rsid w:val="00F95AA4"/>
    <w:rsid w:val="00FB1C1C"/>
    <w:rsid w:val="00FE1E1B"/>
    <w:rsid w:val="00FF405C"/>
    <w:rsid w:val="00FF67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5142C5FB"/>
  <w15:docId w15:val="{FDC84148-33C3-4186-838E-E6954E375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A4D"/>
    <w:pPr>
      <w:suppressAutoHyphens/>
      <w:spacing w:after="0" w:line="240" w:lineRule="auto"/>
      <w:jc w:val="both"/>
    </w:pPr>
    <w:rPr>
      <w:rFonts w:ascii="Arial" w:eastAsia="Times New Roman" w:hAnsi="Arial" w:cs="Times New Roman"/>
      <w:sz w:val="24"/>
      <w:szCs w:val="20"/>
    </w:rPr>
  </w:style>
  <w:style w:type="paragraph" w:styleId="Heading1">
    <w:name w:val="heading 1"/>
    <w:basedOn w:val="Normal"/>
    <w:next w:val="Normal"/>
    <w:link w:val="Heading1Char"/>
    <w:qFormat/>
    <w:rsid w:val="00E94A4D"/>
    <w:pPr>
      <w:keepNext/>
      <w:outlineLvl w:val="0"/>
    </w:pPr>
    <w:rPr>
      <w:rFonts w:cs="Arial"/>
      <w:b/>
      <w:bCs/>
      <w:szCs w:val="24"/>
      <w:u w:val="single"/>
    </w:rPr>
  </w:style>
  <w:style w:type="paragraph" w:styleId="Heading2">
    <w:name w:val="heading 2"/>
    <w:basedOn w:val="Normal"/>
    <w:next w:val="Normal"/>
    <w:link w:val="Heading2Char"/>
    <w:uiPriority w:val="9"/>
    <w:semiHidden/>
    <w:unhideWhenUsed/>
    <w:qFormat/>
    <w:rsid w:val="006F4BD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486692"/>
    <w:pPr>
      <w:keepNext/>
      <w:keepLines/>
      <w:spacing w:before="4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unhideWhenUsed/>
    <w:qFormat/>
    <w:rsid w:val="00FF67D5"/>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94A4D"/>
    <w:rPr>
      <w:rFonts w:ascii="Arial" w:eastAsia="Times New Roman" w:hAnsi="Arial" w:cs="Arial"/>
      <w:b/>
      <w:bCs/>
      <w:sz w:val="24"/>
      <w:szCs w:val="24"/>
      <w:u w:val="single"/>
    </w:rPr>
  </w:style>
  <w:style w:type="paragraph" w:styleId="ListParagraph">
    <w:name w:val="List Paragraph"/>
    <w:basedOn w:val="Normal"/>
    <w:uiPriority w:val="34"/>
    <w:qFormat/>
    <w:rsid w:val="00E94A4D"/>
    <w:pPr>
      <w:ind w:left="720"/>
    </w:pPr>
  </w:style>
  <w:style w:type="paragraph" w:customStyle="1" w:styleId="Part">
    <w:name w:val="Part"/>
    <w:link w:val="PartChar"/>
    <w:rsid w:val="00E94A4D"/>
    <w:pPr>
      <w:widowControl w:val="0"/>
      <w:spacing w:after="0" w:line="240" w:lineRule="auto"/>
    </w:pPr>
    <w:rPr>
      <w:rFonts w:ascii="Arial" w:eastAsia="Times New Roman" w:hAnsi="Arial" w:cs="Times New Roman"/>
      <w:b/>
      <w:szCs w:val="24"/>
      <w:lang w:eastAsia="en-GB"/>
    </w:rPr>
  </w:style>
  <w:style w:type="character" w:customStyle="1" w:styleId="PartChar">
    <w:name w:val="Part Char"/>
    <w:link w:val="Part"/>
    <w:locked/>
    <w:rsid w:val="00E94A4D"/>
    <w:rPr>
      <w:rFonts w:ascii="Arial" w:eastAsia="Times New Roman" w:hAnsi="Arial" w:cs="Times New Roman"/>
      <w:b/>
      <w:szCs w:val="24"/>
      <w:lang w:eastAsia="en-GB"/>
    </w:rPr>
  </w:style>
  <w:style w:type="paragraph" w:styleId="BodyText">
    <w:name w:val="Body Text"/>
    <w:basedOn w:val="Normal"/>
    <w:link w:val="BodyTextChar"/>
    <w:rsid w:val="00E94A4D"/>
    <w:pPr>
      <w:suppressAutoHyphens w:val="0"/>
      <w:jc w:val="left"/>
    </w:pPr>
    <w:rPr>
      <w:rFonts w:eastAsia="MS ??" w:cs="Arial"/>
      <w:sz w:val="22"/>
      <w:szCs w:val="22"/>
    </w:rPr>
  </w:style>
  <w:style w:type="character" w:customStyle="1" w:styleId="BodyTextChar">
    <w:name w:val="Body Text Char"/>
    <w:basedOn w:val="DefaultParagraphFont"/>
    <w:link w:val="BodyText"/>
    <w:rsid w:val="00E94A4D"/>
    <w:rPr>
      <w:rFonts w:ascii="Arial" w:eastAsia="MS ??" w:hAnsi="Arial" w:cs="Arial"/>
    </w:rPr>
  </w:style>
  <w:style w:type="table" w:styleId="TableGrid">
    <w:name w:val="Table Grid"/>
    <w:basedOn w:val="TableNormal"/>
    <w:uiPriority w:val="39"/>
    <w:rsid w:val="00B80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74C47"/>
    <w:rPr>
      <w:color w:val="0563C1" w:themeColor="hyperlink"/>
      <w:u w:val="single"/>
    </w:rPr>
  </w:style>
  <w:style w:type="character" w:customStyle="1" w:styleId="Heading4Char">
    <w:name w:val="Heading 4 Char"/>
    <w:basedOn w:val="DefaultParagraphFont"/>
    <w:link w:val="Heading4"/>
    <w:uiPriority w:val="9"/>
    <w:rsid w:val="00FF67D5"/>
    <w:rPr>
      <w:rFonts w:asciiTheme="majorHAnsi" w:eastAsiaTheme="majorEastAsia" w:hAnsiTheme="majorHAnsi" w:cstheme="majorBidi"/>
      <w:i/>
      <w:iCs/>
      <w:color w:val="2E74B5" w:themeColor="accent1" w:themeShade="BF"/>
      <w:sz w:val="24"/>
      <w:szCs w:val="20"/>
    </w:rPr>
  </w:style>
  <w:style w:type="character" w:customStyle="1" w:styleId="prod-title">
    <w:name w:val="prod-title"/>
    <w:basedOn w:val="DefaultParagraphFont"/>
    <w:rsid w:val="00836DDE"/>
  </w:style>
  <w:style w:type="character" w:styleId="FollowedHyperlink">
    <w:name w:val="FollowedHyperlink"/>
    <w:basedOn w:val="DefaultParagraphFont"/>
    <w:uiPriority w:val="99"/>
    <w:semiHidden/>
    <w:unhideWhenUsed/>
    <w:rsid w:val="00836DDE"/>
    <w:rPr>
      <w:color w:val="954F72" w:themeColor="followedHyperlink"/>
      <w:u w:val="single"/>
    </w:rPr>
  </w:style>
  <w:style w:type="character" w:styleId="Strong">
    <w:name w:val="Strong"/>
    <w:basedOn w:val="DefaultParagraphFont"/>
    <w:uiPriority w:val="22"/>
    <w:qFormat/>
    <w:rsid w:val="0034773C"/>
    <w:rPr>
      <w:b/>
      <w:bCs/>
    </w:rPr>
  </w:style>
  <w:style w:type="character" w:customStyle="1" w:styleId="Heading2Char">
    <w:name w:val="Heading 2 Char"/>
    <w:basedOn w:val="DefaultParagraphFont"/>
    <w:link w:val="Heading2"/>
    <w:uiPriority w:val="9"/>
    <w:semiHidden/>
    <w:rsid w:val="006F4BD0"/>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486692"/>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unhideWhenUsed/>
    <w:rsid w:val="00D8706F"/>
    <w:rPr>
      <w:sz w:val="16"/>
      <w:szCs w:val="16"/>
    </w:rPr>
  </w:style>
  <w:style w:type="paragraph" w:styleId="CommentText">
    <w:name w:val="annotation text"/>
    <w:basedOn w:val="Normal"/>
    <w:link w:val="CommentTextChar"/>
    <w:unhideWhenUsed/>
    <w:rsid w:val="00D8706F"/>
    <w:rPr>
      <w:sz w:val="20"/>
    </w:rPr>
  </w:style>
  <w:style w:type="character" w:customStyle="1" w:styleId="CommentTextChar">
    <w:name w:val="Comment Text Char"/>
    <w:basedOn w:val="DefaultParagraphFont"/>
    <w:link w:val="CommentText"/>
    <w:rsid w:val="00D8706F"/>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D8706F"/>
    <w:rPr>
      <w:b/>
      <w:bCs/>
    </w:rPr>
  </w:style>
  <w:style w:type="character" w:customStyle="1" w:styleId="CommentSubjectChar">
    <w:name w:val="Comment Subject Char"/>
    <w:basedOn w:val="CommentTextChar"/>
    <w:link w:val="CommentSubject"/>
    <w:uiPriority w:val="99"/>
    <w:semiHidden/>
    <w:rsid w:val="00D8706F"/>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D870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706F"/>
    <w:rPr>
      <w:rFonts w:ascii="Segoe UI" w:eastAsia="Times New Roman" w:hAnsi="Segoe UI" w:cs="Segoe UI"/>
      <w:sz w:val="18"/>
      <w:szCs w:val="18"/>
    </w:rPr>
  </w:style>
  <w:style w:type="paragraph" w:styleId="Header">
    <w:name w:val="header"/>
    <w:basedOn w:val="Normal"/>
    <w:link w:val="HeaderChar"/>
    <w:uiPriority w:val="99"/>
    <w:unhideWhenUsed/>
    <w:rsid w:val="00B1400C"/>
    <w:pPr>
      <w:tabs>
        <w:tab w:val="center" w:pos="4513"/>
        <w:tab w:val="right" w:pos="9026"/>
      </w:tabs>
    </w:pPr>
  </w:style>
  <w:style w:type="character" w:customStyle="1" w:styleId="HeaderChar">
    <w:name w:val="Header Char"/>
    <w:basedOn w:val="DefaultParagraphFont"/>
    <w:link w:val="Header"/>
    <w:uiPriority w:val="99"/>
    <w:rsid w:val="00B1400C"/>
    <w:rPr>
      <w:rFonts w:ascii="Arial" w:eastAsia="Times New Roman" w:hAnsi="Arial" w:cs="Times New Roman"/>
      <w:sz w:val="24"/>
      <w:szCs w:val="20"/>
    </w:rPr>
  </w:style>
  <w:style w:type="paragraph" w:styleId="Footer">
    <w:name w:val="footer"/>
    <w:basedOn w:val="Normal"/>
    <w:link w:val="FooterChar"/>
    <w:uiPriority w:val="99"/>
    <w:unhideWhenUsed/>
    <w:rsid w:val="00B1400C"/>
    <w:pPr>
      <w:tabs>
        <w:tab w:val="center" w:pos="4513"/>
        <w:tab w:val="right" w:pos="9026"/>
      </w:tabs>
    </w:pPr>
  </w:style>
  <w:style w:type="character" w:customStyle="1" w:styleId="FooterChar">
    <w:name w:val="Footer Char"/>
    <w:basedOn w:val="DefaultParagraphFont"/>
    <w:link w:val="Footer"/>
    <w:uiPriority w:val="99"/>
    <w:rsid w:val="00B1400C"/>
    <w:rPr>
      <w:rFonts w:ascii="Arial" w:eastAsia="Times New Roman" w:hAnsi="Arial" w:cs="Times New Roman"/>
      <w:sz w:val="24"/>
      <w:szCs w:val="20"/>
    </w:rPr>
  </w:style>
  <w:style w:type="paragraph" w:customStyle="1" w:styleId="Default">
    <w:name w:val="Default"/>
    <w:rsid w:val="00DC2E99"/>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1F78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41217">
      <w:bodyDiv w:val="1"/>
      <w:marLeft w:val="0"/>
      <w:marRight w:val="0"/>
      <w:marTop w:val="0"/>
      <w:marBottom w:val="0"/>
      <w:divBdr>
        <w:top w:val="none" w:sz="0" w:space="0" w:color="auto"/>
        <w:left w:val="none" w:sz="0" w:space="0" w:color="auto"/>
        <w:bottom w:val="none" w:sz="0" w:space="0" w:color="auto"/>
        <w:right w:val="none" w:sz="0" w:space="0" w:color="auto"/>
      </w:divBdr>
    </w:div>
    <w:div w:id="23142443">
      <w:bodyDiv w:val="1"/>
      <w:marLeft w:val="0"/>
      <w:marRight w:val="0"/>
      <w:marTop w:val="0"/>
      <w:marBottom w:val="0"/>
      <w:divBdr>
        <w:top w:val="none" w:sz="0" w:space="0" w:color="auto"/>
        <w:left w:val="none" w:sz="0" w:space="0" w:color="auto"/>
        <w:bottom w:val="none" w:sz="0" w:space="0" w:color="auto"/>
        <w:right w:val="none" w:sz="0" w:space="0" w:color="auto"/>
      </w:divBdr>
    </w:div>
    <w:div w:id="165245823">
      <w:bodyDiv w:val="1"/>
      <w:marLeft w:val="0"/>
      <w:marRight w:val="0"/>
      <w:marTop w:val="0"/>
      <w:marBottom w:val="0"/>
      <w:divBdr>
        <w:top w:val="none" w:sz="0" w:space="0" w:color="auto"/>
        <w:left w:val="none" w:sz="0" w:space="0" w:color="auto"/>
        <w:bottom w:val="none" w:sz="0" w:space="0" w:color="auto"/>
        <w:right w:val="none" w:sz="0" w:space="0" w:color="auto"/>
      </w:divBdr>
    </w:div>
    <w:div w:id="176505624">
      <w:bodyDiv w:val="1"/>
      <w:marLeft w:val="0"/>
      <w:marRight w:val="0"/>
      <w:marTop w:val="0"/>
      <w:marBottom w:val="0"/>
      <w:divBdr>
        <w:top w:val="none" w:sz="0" w:space="0" w:color="auto"/>
        <w:left w:val="none" w:sz="0" w:space="0" w:color="auto"/>
        <w:bottom w:val="none" w:sz="0" w:space="0" w:color="auto"/>
        <w:right w:val="none" w:sz="0" w:space="0" w:color="auto"/>
      </w:divBdr>
    </w:div>
    <w:div w:id="445849577">
      <w:bodyDiv w:val="1"/>
      <w:marLeft w:val="0"/>
      <w:marRight w:val="0"/>
      <w:marTop w:val="0"/>
      <w:marBottom w:val="0"/>
      <w:divBdr>
        <w:top w:val="none" w:sz="0" w:space="0" w:color="auto"/>
        <w:left w:val="none" w:sz="0" w:space="0" w:color="auto"/>
        <w:bottom w:val="none" w:sz="0" w:space="0" w:color="auto"/>
        <w:right w:val="none" w:sz="0" w:space="0" w:color="auto"/>
      </w:divBdr>
    </w:div>
    <w:div w:id="676077483">
      <w:bodyDiv w:val="1"/>
      <w:marLeft w:val="0"/>
      <w:marRight w:val="0"/>
      <w:marTop w:val="0"/>
      <w:marBottom w:val="0"/>
      <w:divBdr>
        <w:top w:val="none" w:sz="0" w:space="0" w:color="auto"/>
        <w:left w:val="none" w:sz="0" w:space="0" w:color="auto"/>
        <w:bottom w:val="none" w:sz="0" w:space="0" w:color="auto"/>
        <w:right w:val="none" w:sz="0" w:space="0" w:color="auto"/>
      </w:divBdr>
    </w:div>
    <w:div w:id="678966407">
      <w:bodyDiv w:val="1"/>
      <w:marLeft w:val="0"/>
      <w:marRight w:val="0"/>
      <w:marTop w:val="0"/>
      <w:marBottom w:val="0"/>
      <w:divBdr>
        <w:top w:val="none" w:sz="0" w:space="0" w:color="auto"/>
        <w:left w:val="none" w:sz="0" w:space="0" w:color="auto"/>
        <w:bottom w:val="none" w:sz="0" w:space="0" w:color="auto"/>
        <w:right w:val="none" w:sz="0" w:space="0" w:color="auto"/>
      </w:divBdr>
    </w:div>
    <w:div w:id="819855905">
      <w:bodyDiv w:val="1"/>
      <w:marLeft w:val="0"/>
      <w:marRight w:val="0"/>
      <w:marTop w:val="0"/>
      <w:marBottom w:val="0"/>
      <w:divBdr>
        <w:top w:val="none" w:sz="0" w:space="0" w:color="auto"/>
        <w:left w:val="none" w:sz="0" w:space="0" w:color="auto"/>
        <w:bottom w:val="none" w:sz="0" w:space="0" w:color="auto"/>
        <w:right w:val="none" w:sz="0" w:space="0" w:color="auto"/>
      </w:divBdr>
    </w:div>
    <w:div w:id="844563408">
      <w:bodyDiv w:val="1"/>
      <w:marLeft w:val="0"/>
      <w:marRight w:val="0"/>
      <w:marTop w:val="0"/>
      <w:marBottom w:val="0"/>
      <w:divBdr>
        <w:top w:val="none" w:sz="0" w:space="0" w:color="auto"/>
        <w:left w:val="none" w:sz="0" w:space="0" w:color="auto"/>
        <w:bottom w:val="none" w:sz="0" w:space="0" w:color="auto"/>
        <w:right w:val="none" w:sz="0" w:space="0" w:color="auto"/>
      </w:divBdr>
    </w:div>
    <w:div w:id="1145274115">
      <w:bodyDiv w:val="1"/>
      <w:marLeft w:val="0"/>
      <w:marRight w:val="0"/>
      <w:marTop w:val="0"/>
      <w:marBottom w:val="0"/>
      <w:divBdr>
        <w:top w:val="none" w:sz="0" w:space="0" w:color="auto"/>
        <w:left w:val="none" w:sz="0" w:space="0" w:color="auto"/>
        <w:bottom w:val="none" w:sz="0" w:space="0" w:color="auto"/>
        <w:right w:val="none" w:sz="0" w:space="0" w:color="auto"/>
      </w:divBdr>
    </w:div>
    <w:div w:id="1195577851">
      <w:bodyDiv w:val="1"/>
      <w:marLeft w:val="0"/>
      <w:marRight w:val="0"/>
      <w:marTop w:val="0"/>
      <w:marBottom w:val="0"/>
      <w:divBdr>
        <w:top w:val="none" w:sz="0" w:space="0" w:color="auto"/>
        <w:left w:val="none" w:sz="0" w:space="0" w:color="auto"/>
        <w:bottom w:val="none" w:sz="0" w:space="0" w:color="auto"/>
        <w:right w:val="none" w:sz="0" w:space="0" w:color="auto"/>
      </w:divBdr>
    </w:div>
    <w:div w:id="1488472797">
      <w:bodyDiv w:val="1"/>
      <w:marLeft w:val="0"/>
      <w:marRight w:val="0"/>
      <w:marTop w:val="0"/>
      <w:marBottom w:val="0"/>
      <w:divBdr>
        <w:top w:val="none" w:sz="0" w:space="0" w:color="auto"/>
        <w:left w:val="none" w:sz="0" w:space="0" w:color="auto"/>
        <w:bottom w:val="none" w:sz="0" w:space="0" w:color="auto"/>
        <w:right w:val="none" w:sz="0" w:space="0" w:color="auto"/>
      </w:divBdr>
    </w:div>
    <w:div w:id="1548763745">
      <w:bodyDiv w:val="1"/>
      <w:marLeft w:val="0"/>
      <w:marRight w:val="0"/>
      <w:marTop w:val="0"/>
      <w:marBottom w:val="0"/>
      <w:divBdr>
        <w:top w:val="none" w:sz="0" w:space="0" w:color="auto"/>
        <w:left w:val="none" w:sz="0" w:space="0" w:color="auto"/>
        <w:bottom w:val="none" w:sz="0" w:space="0" w:color="auto"/>
        <w:right w:val="none" w:sz="0" w:space="0" w:color="auto"/>
      </w:divBdr>
    </w:div>
    <w:div w:id="1972129089">
      <w:bodyDiv w:val="1"/>
      <w:marLeft w:val="0"/>
      <w:marRight w:val="0"/>
      <w:marTop w:val="0"/>
      <w:marBottom w:val="0"/>
      <w:divBdr>
        <w:top w:val="none" w:sz="0" w:space="0" w:color="auto"/>
        <w:left w:val="none" w:sz="0" w:space="0" w:color="auto"/>
        <w:bottom w:val="none" w:sz="0" w:space="0" w:color="auto"/>
        <w:right w:val="none" w:sz="0" w:space="0" w:color="auto"/>
      </w:divBdr>
    </w:div>
    <w:div w:id="2028866540">
      <w:bodyDiv w:val="1"/>
      <w:marLeft w:val="0"/>
      <w:marRight w:val="0"/>
      <w:marTop w:val="0"/>
      <w:marBottom w:val="0"/>
      <w:divBdr>
        <w:top w:val="none" w:sz="0" w:space="0" w:color="auto"/>
        <w:left w:val="none" w:sz="0" w:space="0" w:color="auto"/>
        <w:bottom w:val="none" w:sz="0" w:space="0" w:color="auto"/>
        <w:right w:val="none" w:sz="0" w:space="0" w:color="auto"/>
      </w:divBdr>
    </w:div>
    <w:div w:id="2131975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e.blakley@n-somerset.gov.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mprovement.nhs.uk/resources/learning-from-patient-safety-incident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ashhguidelines.org/media/1084/sti-testing-tables-2015-dec-update-4.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athways.nice.org.uk/pathways/preventing-sexually-transmitted-infections-and-under-18-conceptions" TargetMode="External"/><Relationship Id="rId4" Type="http://schemas.openxmlformats.org/officeDocument/2006/relationships/settings" Target="settings.xml"/><Relationship Id="rId9" Type="http://schemas.openxmlformats.org/officeDocument/2006/relationships/hyperlink" Target="https://www.cqc.org.uk/guidance-providers/gps/nigels-surgery-8-gillick-competency-fraser-guidelin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FBC08A-B97C-47C2-9FF6-FE172DD02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1875</Words>
  <Characters>10694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Shcherba</dc:creator>
  <cp:keywords/>
  <dc:description/>
  <cp:lastModifiedBy>Kate Blakley</cp:lastModifiedBy>
  <cp:revision>7</cp:revision>
  <dcterms:created xsi:type="dcterms:W3CDTF">2024-04-09T16:21:00Z</dcterms:created>
  <dcterms:modified xsi:type="dcterms:W3CDTF">2024-04-09T16:45:00Z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